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F2C90" w14:textId="77777777" w:rsidR="00AB4BED" w:rsidRPr="002C22C6" w:rsidRDefault="00AB4BED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3D136C" w:rsidRPr="002C22C6">
        <w:rPr>
          <w:rFonts w:ascii="Times New Roman" w:hAnsi="Times New Roman" w:cs="Times New Roman"/>
          <w:b/>
          <w:sz w:val="24"/>
          <w:szCs w:val="24"/>
        </w:rPr>
        <w:t>Općeg</w:t>
      </w:r>
      <w:r w:rsidRPr="002C22C6">
        <w:rPr>
          <w:rFonts w:ascii="Times New Roman" w:hAnsi="Times New Roman" w:cs="Times New Roman"/>
          <w:b/>
          <w:sz w:val="24"/>
          <w:szCs w:val="24"/>
        </w:rPr>
        <w:t xml:space="preserve"> dijela financijskog plana</w:t>
      </w:r>
    </w:p>
    <w:p w14:paraId="142D6B0E" w14:textId="77777777" w:rsidR="00AB4BED" w:rsidRPr="002C22C6" w:rsidRDefault="00AB4BED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b/>
          <w:sz w:val="24"/>
          <w:szCs w:val="24"/>
        </w:rPr>
        <w:t xml:space="preserve">3050 Institut za društvena istraživanja u Zagrebu </w:t>
      </w:r>
      <w:r w:rsidR="00E63413">
        <w:rPr>
          <w:rFonts w:ascii="Times New Roman" w:hAnsi="Times New Roman" w:cs="Times New Roman"/>
          <w:b/>
          <w:sz w:val="24"/>
          <w:szCs w:val="24"/>
        </w:rPr>
        <w:t>za razdoblje 2025.-2027</w:t>
      </w:r>
      <w:r w:rsidRPr="002C22C6">
        <w:rPr>
          <w:rFonts w:ascii="Times New Roman" w:hAnsi="Times New Roman" w:cs="Times New Roman"/>
          <w:b/>
          <w:sz w:val="24"/>
          <w:szCs w:val="24"/>
        </w:rPr>
        <w:t>.g.</w:t>
      </w:r>
    </w:p>
    <w:p w14:paraId="2D70AA4A" w14:textId="77777777" w:rsidR="00EF2AD3" w:rsidRPr="002C22C6" w:rsidRDefault="00EF2AD3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1A72F" w14:textId="362888FB" w:rsidR="00577A43" w:rsidRPr="002C22C6" w:rsidRDefault="00577A43" w:rsidP="00E376C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sz w:val="24"/>
          <w:szCs w:val="24"/>
        </w:rPr>
        <w:t xml:space="preserve">Institut za društvena istraživanja u Zagrebu (Institut)  javna je ustanova </w:t>
      </w:r>
      <w:r w:rsidR="008E11F4">
        <w:rPr>
          <w:rFonts w:ascii="Times New Roman" w:eastAsia="Times New Roman" w:hAnsi="Times New Roman" w:cs="Times New Roman"/>
          <w:sz w:val="24"/>
          <w:szCs w:val="24"/>
        </w:rPr>
        <w:t>čiji je osnivač Ministarstvo znanosti, obrazovanja i mladih</w:t>
      </w:r>
      <w:r w:rsidRPr="002C22C6">
        <w:rPr>
          <w:rFonts w:ascii="Times New Roman" w:eastAsia="Times New Roman" w:hAnsi="Times New Roman" w:cs="Times New Roman"/>
          <w:sz w:val="24"/>
          <w:szCs w:val="24"/>
        </w:rPr>
        <w:t xml:space="preserve">. Institut se bavi koncipiranjem, razvojem, organiziranjem i provedbom znanstvenih istraživanja te znanstvenim osposobljavanjem i usavršavanjem znanstvenoistraživačkoga ljudskog potencijala. </w:t>
      </w:r>
    </w:p>
    <w:p w14:paraId="2FB788CC" w14:textId="77777777" w:rsidR="00AB4BED" w:rsidRPr="002C22C6" w:rsidRDefault="00071052" w:rsidP="00E376C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sz w:val="24"/>
          <w:szCs w:val="24"/>
        </w:rPr>
        <w:t>Najveći dio ukupnih prihoda čine prihodi iz državnog proračuna</w:t>
      </w:r>
      <w:r w:rsidR="00AB4BED" w:rsidRPr="002C22C6">
        <w:rPr>
          <w:rFonts w:ascii="Times New Roman" w:eastAsia="Times New Roman" w:hAnsi="Times New Roman" w:cs="Times New Roman"/>
          <w:sz w:val="24"/>
          <w:szCs w:val="24"/>
        </w:rPr>
        <w:t xml:space="preserve">, dok ostale prihode </w:t>
      </w:r>
      <w:r w:rsidRPr="002C22C6">
        <w:rPr>
          <w:rFonts w:ascii="Times New Roman" w:eastAsia="Times New Roman" w:hAnsi="Times New Roman" w:cs="Times New Roman"/>
          <w:sz w:val="24"/>
          <w:szCs w:val="24"/>
        </w:rPr>
        <w:t xml:space="preserve">Institut </w:t>
      </w:r>
      <w:r w:rsidR="00AB4BED" w:rsidRPr="002C22C6">
        <w:rPr>
          <w:rFonts w:ascii="Times New Roman" w:eastAsia="Times New Roman" w:hAnsi="Times New Roman" w:cs="Times New Roman"/>
          <w:sz w:val="24"/>
          <w:szCs w:val="24"/>
        </w:rPr>
        <w:t>ostvaruje kroz projekte financirane iz programa Europske unije, Europskog socijalnog fonda, Hrvatske zaklade za znanost te projekata za različite naručitelje (jedinice državne i lokalne uprave i samouprave, organizacije civilnog društva, visokoobrazovne ustanove i slično).</w:t>
      </w:r>
    </w:p>
    <w:p w14:paraId="2F07C1F8" w14:textId="77777777" w:rsidR="00BC1664" w:rsidRPr="002C22C6" w:rsidRDefault="00BC1664" w:rsidP="00E376C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A901FC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09BE17E9" w14:textId="77777777" w:rsidR="00BC1664" w:rsidRPr="002C22C6" w:rsidRDefault="00BC1664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Institut za društv</w:t>
      </w:r>
      <w:r w:rsidR="00F46913" w:rsidRPr="002C22C6">
        <w:rPr>
          <w:rFonts w:ascii="Times New Roman" w:hAnsi="Times New Roman" w:cs="Times New Roman"/>
          <w:sz w:val="24"/>
          <w:szCs w:val="24"/>
        </w:rPr>
        <w:t>ena istraživanja u narednoj 202</w:t>
      </w:r>
      <w:r w:rsidR="00E63413">
        <w:rPr>
          <w:rFonts w:ascii="Times New Roman" w:hAnsi="Times New Roman" w:cs="Times New Roman"/>
          <w:sz w:val="24"/>
          <w:szCs w:val="24"/>
        </w:rPr>
        <w:t>5</w:t>
      </w:r>
      <w:r w:rsidRPr="002C22C6">
        <w:rPr>
          <w:rFonts w:ascii="Times New Roman" w:hAnsi="Times New Roman" w:cs="Times New Roman"/>
          <w:sz w:val="24"/>
          <w:szCs w:val="24"/>
        </w:rPr>
        <w:t>.</w:t>
      </w:r>
      <w:r w:rsidR="00D6606B" w:rsidRPr="002C22C6">
        <w:rPr>
          <w:rFonts w:ascii="Times New Roman" w:hAnsi="Times New Roman" w:cs="Times New Roman"/>
          <w:sz w:val="24"/>
          <w:szCs w:val="24"/>
        </w:rPr>
        <w:t xml:space="preserve"> godini planira </w:t>
      </w:r>
      <w:r w:rsidR="00E63413">
        <w:rPr>
          <w:rFonts w:ascii="Times New Roman" w:hAnsi="Times New Roman" w:cs="Times New Roman"/>
          <w:sz w:val="24"/>
          <w:szCs w:val="24"/>
        </w:rPr>
        <w:t>2.578.608</w:t>
      </w:r>
      <w:r w:rsidR="00D6606B" w:rsidRPr="002C22C6">
        <w:rPr>
          <w:rFonts w:ascii="Times New Roman" w:hAnsi="Times New Roman" w:cs="Times New Roman"/>
          <w:sz w:val="24"/>
          <w:szCs w:val="24"/>
        </w:rPr>
        <w:t xml:space="preserve"> 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prihoda poslovanja dok je u projekcijama iskazano </w:t>
      </w:r>
      <w:r w:rsidR="00E63413">
        <w:rPr>
          <w:rFonts w:ascii="Times New Roman" w:hAnsi="Times New Roman" w:cs="Times New Roman"/>
          <w:sz w:val="24"/>
          <w:szCs w:val="24"/>
        </w:rPr>
        <w:t>2.134.788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</w:t>
      </w:r>
      <w:r w:rsidR="00F46913" w:rsidRPr="002C22C6">
        <w:rPr>
          <w:rFonts w:ascii="Times New Roman" w:hAnsi="Times New Roman" w:cs="Times New Roman"/>
          <w:sz w:val="24"/>
          <w:szCs w:val="24"/>
        </w:rPr>
        <w:t>202</w:t>
      </w:r>
      <w:r w:rsidR="00E63413">
        <w:rPr>
          <w:rFonts w:ascii="Times New Roman" w:hAnsi="Times New Roman" w:cs="Times New Roman"/>
          <w:sz w:val="24"/>
          <w:szCs w:val="24"/>
        </w:rPr>
        <w:t>6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te </w:t>
      </w:r>
      <w:r w:rsidR="000C6705">
        <w:rPr>
          <w:rFonts w:ascii="Times New Roman" w:hAnsi="Times New Roman" w:cs="Times New Roman"/>
          <w:sz w:val="24"/>
          <w:szCs w:val="24"/>
        </w:rPr>
        <w:t>1.</w:t>
      </w:r>
      <w:r w:rsidR="00E63413">
        <w:rPr>
          <w:rFonts w:ascii="Times New Roman" w:hAnsi="Times New Roman" w:cs="Times New Roman"/>
          <w:sz w:val="24"/>
          <w:szCs w:val="24"/>
        </w:rPr>
        <w:t>872.997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</w:t>
      </w:r>
      <w:r w:rsidR="00F46913" w:rsidRPr="002C22C6">
        <w:rPr>
          <w:rFonts w:ascii="Times New Roman" w:hAnsi="Times New Roman" w:cs="Times New Roman"/>
          <w:sz w:val="24"/>
          <w:szCs w:val="24"/>
        </w:rPr>
        <w:t>202</w:t>
      </w:r>
      <w:r w:rsidR="00E63413">
        <w:rPr>
          <w:rFonts w:ascii="Times New Roman" w:hAnsi="Times New Roman" w:cs="Times New Roman"/>
          <w:sz w:val="24"/>
          <w:szCs w:val="24"/>
        </w:rPr>
        <w:t>7</w:t>
      </w:r>
      <w:r w:rsidRPr="002C22C6">
        <w:rPr>
          <w:rFonts w:ascii="Times New Roman" w:hAnsi="Times New Roman" w:cs="Times New Roman"/>
          <w:sz w:val="24"/>
          <w:szCs w:val="24"/>
        </w:rPr>
        <w:t>.</w:t>
      </w:r>
      <w:r w:rsidR="008148A5">
        <w:rPr>
          <w:rFonts w:ascii="Times New Roman" w:hAnsi="Times New Roman" w:cs="Times New Roman"/>
          <w:sz w:val="24"/>
          <w:szCs w:val="24"/>
        </w:rPr>
        <w:t xml:space="preserve"> </w:t>
      </w:r>
      <w:r w:rsidRPr="002C22C6">
        <w:rPr>
          <w:rFonts w:ascii="Times New Roman" w:hAnsi="Times New Roman" w:cs="Times New Roman"/>
          <w:sz w:val="24"/>
          <w:szCs w:val="24"/>
        </w:rPr>
        <w:t>godinu. U prijedlogu financijskog plana iskazani su realni prihodi koje očekujemo tokom naredne tri godine na temelju ugovorenih proj</w:t>
      </w:r>
      <w:r w:rsidR="00D6606B" w:rsidRPr="002C22C6">
        <w:rPr>
          <w:rFonts w:ascii="Times New Roman" w:hAnsi="Times New Roman" w:cs="Times New Roman"/>
          <w:sz w:val="24"/>
          <w:szCs w:val="24"/>
        </w:rPr>
        <w:t>ekata</w:t>
      </w:r>
      <w:r w:rsidRPr="002C22C6">
        <w:rPr>
          <w:rFonts w:ascii="Times New Roman" w:hAnsi="Times New Roman" w:cs="Times New Roman"/>
          <w:sz w:val="24"/>
          <w:szCs w:val="24"/>
        </w:rPr>
        <w:t>. U odnosu na tekući plan za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202</w:t>
      </w:r>
      <w:r w:rsidR="00E63413">
        <w:rPr>
          <w:rFonts w:ascii="Times New Roman" w:hAnsi="Times New Roman" w:cs="Times New Roman"/>
          <w:sz w:val="24"/>
          <w:szCs w:val="24"/>
        </w:rPr>
        <w:t>4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vidljivo je </w:t>
      </w:r>
      <w:r w:rsidR="00F46913" w:rsidRPr="002C22C6">
        <w:rPr>
          <w:rFonts w:ascii="Times New Roman" w:hAnsi="Times New Roman" w:cs="Times New Roman"/>
          <w:sz w:val="24"/>
          <w:szCs w:val="24"/>
        </w:rPr>
        <w:t>povećanje ukupnih planiranih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46913" w:rsidRPr="002C22C6">
        <w:rPr>
          <w:rFonts w:ascii="Times New Roman" w:hAnsi="Times New Roman" w:cs="Times New Roman"/>
          <w:sz w:val="24"/>
          <w:szCs w:val="24"/>
        </w:rPr>
        <w:t>prihoda,</w:t>
      </w:r>
      <w:r w:rsidR="0023156C" w:rsidRPr="002C22C6">
        <w:rPr>
          <w:rFonts w:ascii="Times New Roman" w:hAnsi="Times New Roman" w:cs="Times New Roman"/>
          <w:sz w:val="24"/>
          <w:szCs w:val="24"/>
        </w:rPr>
        <w:t xml:space="preserve"> ali i u odnosu na izvršenje 202</w:t>
      </w:r>
      <w:r w:rsidR="00E63413">
        <w:rPr>
          <w:rFonts w:ascii="Times New Roman" w:hAnsi="Times New Roman" w:cs="Times New Roman"/>
          <w:sz w:val="24"/>
          <w:szCs w:val="24"/>
        </w:rPr>
        <w:t>3</w:t>
      </w:r>
      <w:r w:rsidR="0023156C" w:rsidRPr="002C22C6">
        <w:rPr>
          <w:rFonts w:ascii="Times New Roman" w:hAnsi="Times New Roman" w:cs="Times New Roman"/>
          <w:sz w:val="24"/>
          <w:szCs w:val="24"/>
        </w:rPr>
        <w:t>.godine.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3156C" w:rsidRPr="002C22C6">
        <w:rPr>
          <w:rFonts w:ascii="Times New Roman" w:hAnsi="Times New Roman" w:cs="Times New Roman"/>
          <w:sz w:val="24"/>
          <w:szCs w:val="24"/>
        </w:rPr>
        <w:t>Ukupni prihodi u narednom trogodišnjem periodu imaju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sukcesivni pad zbog završetka ugovorenih projekata.</w:t>
      </w:r>
    </w:p>
    <w:p w14:paraId="5CA806AE" w14:textId="77777777" w:rsidR="00CE3559" w:rsidRPr="002C22C6" w:rsidRDefault="00F46913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U 202</w:t>
      </w:r>
      <w:r w:rsidR="00E63413">
        <w:rPr>
          <w:rFonts w:ascii="Times New Roman" w:hAnsi="Times New Roman" w:cs="Times New Roman"/>
          <w:sz w:val="24"/>
          <w:szCs w:val="24"/>
        </w:rPr>
        <w:t>5</w:t>
      </w:r>
      <w:r w:rsidR="00CE3559" w:rsidRPr="002C22C6">
        <w:rPr>
          <w:rFonts w:ascii="Times New Roman" w:hAnsi="Times New Roman" w:cs="Times New Roman"/>
          <w:sz w:val="24"/>
          <w:szCs w:val="24"/>
        </w:rPr>
        <w:t>. godini najveći udio u prihodima je prihod državnog proračuna (</w:t>
      </w:r>
      <w:r w:rsidR="00E63413">
        <w:rPr>
          <w:rFonts w:ascii="Times New Roman" w:hAnsi="Times New Roman" w:cs="Times New Roman"/>
          <w:sz w:val="24"/>
          <w:szCs w:val="24"/>
        </w:rPr>
        <w:t>7</w:t>
      </w:r>
      <w:r w:rsidR="008148A5">
        <w:rPr>
          <w:rFonts w:ascii="Times New Roman" w:hAnsi="Times New Roman" w:cs="Times New Roman"/>
          <w:sz w:val="24"/>
          <w:szCs w:val="24"/>
        </w:rPr>
        <w:t>7,</w:t>
      </w:r>
      <w:r w:rsidR="00E63413">
        <w:rPr>
          <w:rFonts w:ascii="Times New Roman" w:hAnsi="Times New Roman" w:cs="Times New Roman"/>
          <w:sz w:val="24"/>
          <w:szCs w:val="24"/>
        </w:rPr>
        <w:t>72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%) temeljem 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CE3559" w:rsidRPr="002C22C6">
        <w:rPr>
          <w:rFonts w:ascii="Times New Roman" w:hAnsi="Times New Roman" w:cs="Times New Roman"/>
          <w:sz w:val="24"/>
          <w:szCs w:val="24"/>
        </w:rPr>
        <w:t>programsko</w:t>
      </w:r>
      <w:r w:rsidR="00071052" w:rsidRPr="002C22C6">
        <w:rPr>
          <w:rFonts w:ascii="Times New Roman" w:hAnsi="Times New Roman" w:cs="Times New Roman"/>
          <w:sz w:val="24"/>
          <w:szCs w:val="24"/>
        </w:rPr>
        <w:t>g financiranja</w:t>
      </w:r>
      <w:r w:rsidR="00E63413">
        <w:rPr>
          <w:rFonts w:ascii="Times New Roman" w:hAnsi="Times New Roman" w:cs="Times New Roman"/>
          <w:sz w:val="24"/>
          <w:szCs w:val="24"/>
        </w:rPr>
        <w:t>.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E63413">
        <w:rPr>
          <w:rFonts w:ascii="Times New Roman" w:hAnsi="Times New Roman" w:cs="Times New Roman"/>
          <w:sz w:val="24"/>
          <w:szCs w:val="24"/>
        </w:rPr>
        <w:t>Ukupni planirani iznos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E63413">
        <w:rPr>
          <w:rFonts w:ascii="Times New Roman" w:hAnsi="Times New Roman" w:cs="Times New Roman"/>
          <w:sz w:val="24"/>
          <w:szCs w:val="24"/>
        </w:rPr>
        <w:t xml:space="preserve">odnosi se na programsko financiranje iz izvora </w:t>
      </w:r>
      <w:r w:rsidR="00E63413" w:rsidRPr="00E63413">
        <w:rPr>
          <w:rFonts w:ascii="Times New Roman" w:hAnsi="Times New Roman" w:cs="Times New Roman"/>
          <w:i/>
          <w:sz w:val="24"/>
          <w:szCs w:val="24"/>
        </w:rPr>
        <w:t>1.1 Opći prihodi i primici</w:t>
      </w:r>
      <w:r w:rsidR="00E63413">
        <w:rPr>
          <w:rFonts w:ascii="Times New Roman" w:hAnsi="Times New Roman" w:cs="Times New Roman"/>
          <w:sz w:val="24"/>
          <w:szCs w:val="24"/>
        </w:rPr>
        <w:t xml:space="preserve"> u iznosu 1.860.872 </w:t>
      </w:r>
      <w:r w:rsidR="00E63413" w:rsidRPr="002C22C6">
        <w:rPr>
          <w:rFonts w:ascii="Times New Roman" w:hAnsi="Times New Roman" w:cs="Times New Roman"/>
          <w:sz w:val="24"/>
          <w:szCs w:val="24"/>
        </w:rPr>
        <w:t>€</w:t>
      </w:r>
      <w:r w:rsidR="00E63413">
        <w:rPr>
          <w:rFonts w:ascii="Times New Roman" w:hAnsi="Times New Roman" w:cs="Times New Roman"/>
          <w:sz w:val="24"/>
          <w:szCs w:val="24"/>
        </w:rPr>
        <w:t xml:space="preserve"> te iz izvora </w:t>
      </w:r>
      <w:r w:rsidR="00E63413" w:rsidRPr="000C6705">
        <w:rPr>
          <w:rFonts w:ascii="Times New Roman" w:hAnsi="Times New Roman" w:cs="Times New Roman"/>
          <w:i/>
          <w:sz w:val="24"/>
          <w:szCs w:val="24"/>
        </w:rPr>
        <w:t>581 Mehanizmi za oporavak i otpornost</w:t>
      </w:r>
      <w:r w:rsidR="00E63413">
        <w:rPr>
          <w:rFonts w:ascii="Times New Roman" w:hAnsi="Times New Roman" w:cs="Times New Roman"/>
          <w:sz w:val="24"/>
          <w:szCs w:val="24"/>
        </w:rPr>
        <w:t xml:space="preserve"> u iznosu 126.350 </w:t>
      </w:r>
      <w:r w:rsidR="00E63413" w:rsidRPr="002C22C6">
        <w:rPr>
          <w:rFonts w:ascii="Times New Roman" w:hAnsi="Times New Roman" w:cs="Times New Roman"/>
          <w:sz w:val="24"/>
          <w:szCs w:val="24"/>
        </w:rPr>
        <w:t>€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. </w:t>
      </w:r>
      <w:r w:rsidR="00D60045">
        <w:rPr>
          <w:rFonts w:ascii="Times New Roman" w:hAnsi="Times New Roman" w:cs="Times New Roman"/>
          <w:sz w:val="24"/>
          <w:szCs w:val="24"/>
        </w:rPr>
        <w:t>Iznos</w:t>
      </w:r>
      <w:r w:rsidR="00E63413">
        <w:rPr>
          <w:rFonts w:ascii="Times New Roman" w:hAnsi="Times New Roman" w:cs="Times New Roman"/>
          <w:sz w:val="24"/>
          <w:szCs w:val="24"/>
        </w:rPr>
        <w:t>i</w:t>
      </w:r>
      <w:r w:rsidR="00D60045">
        <w:rPr>
          <w:rFonts w:ascii="Times New Roman" w:hAnsi="Times New Roman" w:cs="Times New Roman"/>
          <w:sz w:val="24"/>
          <w:szCs w:val="24"/>
        </w:rPr>
        <w:t xml:space="preserve"> </w:t>
      </w:r>
      <w:r w:rsidR="00E63413">
        <w:rPr>
          <w:rFonts w:ascii="Times New Roman" w:hAnsi="Times New Roman" w:cs="Times New Roman"/>
          <w:sz w:val="24"/>
          <w:szCs w:val="24"/>
        </w:rPr>
        <w:t>su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0045">
        <w:rPr>
          <w:rFonts w:ascii="Times New Roman" w:hAnsi="Times New Roman" w:cs="Times New Roman"/>
          <w:sz w:val="24"/>
          <w:szCs w:val="24"/>
        </w:rPr>
        <w:t>ograničen</w:t>
      </w:r>
      <w:r w:rsidR="00E63413">
        <w:rPr>
          <w:rFonts w:ascii="Times New Roman" w:hAnsi="Times New Roman" w:cs="Times New Roman"/>
          <w:sz w:val="24"/>
          <w:szCs w:val="24"/>
        </w:rPr>
        <w:t>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limitima o</w:t>
      </w:r>
      <w:r w:rsidR="00D6606B" w:rsidRPr="002C22C6">
        <w:rPr>
          <w:rFonts w:ascii="Times New Roman" w:hAnsi="Times New Roman" w:cs="Times New Roman"/>
          <w:sz w:val="24"/>
          <w:szCs w:val="24"/>
        </w:rPr>
        <w:t>d strane nadležnog Ministar</w:t>
      </w:r>
      <w:r w:rsidR="00CE3559" w:rsidRPr="002C22C6">
        <w:rPr>
          <w:rFonts w:ascii="Times New Roman" w:hAnsi="Times New Roman" w:cs="Times New Roman"/>
          <w:sz w:val="24"/>
          <w:szCs w:val="24"/>
        </w:rPr>
        <w:t>s</w:t>
      </w:r>
      <w:r w:rsidR="00D6606B" w:rsidRPr="002C22C6">
        <w:rPr>
          <w:rFonts w:ascii="Times New Roman" w:hAnsi="Times New Roman" w:cs="Times New Roman"/>
          <w:sz w:val="24"/>
          <w:szCs w:val="24"/>
        </w:rPr>
        <w:t>t</w:t>
      </w:r>
      <w:r w:rsidR="00692F5F">
        <w:rPr>
          <w:rFonts w:ascii="Times New Roman" w:hAnsi="Times New Roman" w:cs="Times New Roman"/>
          <w:sz w:val="24"/>
          <w:szCs w:val="24"/>
        </w:rPr>
        <w:t xml:space="preserve">va znanosti, </w:t>
      </w:r>
      <w:r w:rsidR="00C14BB3" w:rsidRPr="002C22C6">
        <w:rPr>
          <w:rFonts w:ascii="Times New Roman" w:hAnsi="Times New Roman" w:cs="Times New Roman"/>
          <w:sz w:val="24"/>
          <w:szCs w:val="24"/>
        </w:rPr>
        <w:t>obrazovanja</w:t>
      </w:r>
      <w:r w:rsidR="00692F5F">
        <w:rPr>
          <w:rFonts w:ascii="Times New Roman" w:hAnsi="Times New Roman" w:cs="Times New Roman"/>
          <w:sz w:val="24"/>
          <w:szCs w:val="24"/>
        </w:rPr>
        <w:t xml:space="preserve"> i mladih</w:t>
      </w:r>
      <w:r w:rsidR="00D60045">
        <w:rPr>
          <w:rFonts w:ascii="Times New Roman" w:hAnsi="Times New Roman" w:cs="Times New Roman"/>
          <w:sz w:val="24"/>
          <w:szCs w:val="24"/>
        </w:rPr>
        <w:t xml:space="preserve"> a odn</w:t>
      </w:r>
      <w:r w:rsidR="000C6705">
        <w:rPr>
          <w:rFonts w:ascii="Times New Roman" w:hAnsi="Times New Roman" w:cs="Times New Roman"/>
          <w:sz w:val="24"/>
          <w:szCs w:val="24"/>
        </w:rPr>
        <w:t xml:space="preserve">osi se na troškove zaposlenika </w:t>
      </w:r>
      <w:r w:rsidR="00D60045">
        <w:rPr>
          <w:rFonts w:ascii="Times New Roman" w:hAnsi="Times New Roman" w:cs="Times New Roman"/>
          <w:sz w:val="24"/>
          <w:szCs w:val="24"/>
        </w:rPr>
        <w:t>i programsko financiranje</w:t>
      </w:r>
      <w:r w:rsidR="00C14BB3" w:rsidRPr="002C22C6">
        <w:rPr>
          <w:rFonts w:ascii="Times New Roman" w:hAnsi="Times New Roman" w:cs="Times New Roman"/>
          <w:sz w:val="24"/>
          <w:szCs w:val="24"/>
        </w:rPr>
        <w:t>.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E63413" w:rsidRPr="002C22C6">
        <w:rPr>
          <w:rFonts w:ascii="Times New Roman" w:hAnsi="Times New Roman" w:cs="Times New Roman"/>
          <w:sz w:val="24"/>
          <w:szCs w:val="24"/>
        </w:rPr>
        <w:t>Dodi</w:t>
      </w:r>
      <w:r w:rsidR="00E63413">
        <w:rPr>
          <w:rFonts w:ascii="Times New Roman" w:hAnsi="Times New Roman" w:cs="Times New Roman"/>
          <w:sz w:val="24"/>
          <w:szCs w:val="24"/>
        </w:rPr>
        <w:t xml:space="preserve">jeljeni limiti za izvor </w:t>
      </w:r>
      <w:r w:rsidR="000C6705" w:rsidRPr="000C6705">
        <w:rPr>
          <w:rFonts w:ascii="Times New Roman" w:hAnsi="Times New Roman" w:cs="Times New Roman"/>
          <w:i/>
          <w:sz w:val="24"/>
          <w:szCs w:val="24"/>
        </w:rPr>
        <w:t>581 Mehanizmi za oporavak i otpornost</w:t>
      </w:r>
      <w:r w:rsidR="008148A5">
        <w:rPr>
          <w:rFonts w:ascii="Times New Roman" w:hAnsi="Times New Roman" w:cs="Times New Roman"/>
          <w:sz w:val="24"/>
          <w:szCs w:val="24"/>
        </w:rPr>
        <w:t xml:space="preserve"> odnose se na iznose </w:t>
      </w:r>
      <w:r w:rsidR="00692F5F">
        <w:rPr>
          <w:rFonts w:ascii="Times New Roman" w:hAnsi="Times New Roman" w:cs="Times New Roman"/>
          <w:sz w:val="24"/>
          <w:szCs w:val="24"/>
        </w:rPr>
        <w:t>ugovorene Programskim ugovorom</w:t>
      </w:r>
      <w:r w:rsidR="008148A5">
        <w:rPr>
          <w:rFonts w:ascii="Times New Roman" w:hAnsi="Times New Roman" w:cs="Times New Roman"/>
          <w:sz w:val="24"/>
          <w:szCs w:val="24"/>
        </w:rPr>
        <w:t>. Prihodi po toj aktivnosti u naredne dvije godine biti će dodi</w:t>
      </w:r>
      <w:r w:rsidR="00692F5F">
        <w:rPr>
          <w:rFonts w:ascii="Times New Roman" w:hAnsi="Times New Roman" w:cs="Times New Roman"/>
          <w:sz w:val="24"/>
          <w:szCs w:val="24"/>
        </w:rPr>
        <w:t>jeljeni krajem prethodne godine zbog novčanog načela planiranja.</w:t>
      </w:r>
    </w:p>
    <w:p w14:paraId="35153487" w14:textId="77777777" w:rsidR="002C22C6" w:rsidRDefault="00D6606B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Sljedeći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najveći udio</w:t>
      </w:r>
      <w:r w:rsidRPr="002C22C6">
        <w:rPr>
          <w:rFonts w:ascii="Times New Roman" w:hAnsi="Times New Roman" w:cs="Times New Roman"/>
          <w:sz w:val="24"/>
          <w:szCs w:val="24"/>
        </w:rPr>
        <w:t xml:space="preserve"> iskazanih prihoda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čine prihod</w:t>
      </w:r>
      <w:r w:rsidRPr="002C22C6">
        <w:rPr>
          <w:rFonts w:ascii="Times New Roman" w:hAnsi="Times New Roman" w:cs="Times New Roman"/>
          <w:sz w:val="24"/>
          <w:szCs w:val="24"/>
        </w:rPr>
        <w:t>i iz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izvora </w:t>
      </w:r>
      <w:r w:rsidR="00CE3559" w:rsidRPr="002C22C6">
        <w:rPr>
          <w:rFonts w:ascii="Times New Roman" w:hAnsi="Times New Roman" w:cs="Times New Roman"/>
          <w:i/>
          <w:sz w:val="24"/>
          <w:szCs w:val="24"/>
        </w:rPr>
        <w:t>52 Ostale pomoći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. Planirani </w:t>
      </w:r>
      <w:r w:rsidRPr="002C22C6">
        <w:rPr>
          <w:rFonts w:ascii="Times New Roman" w:hAnsi="Times New Roman" w:cs="Times New Roman"/>
          <w:sz w:val="24"/>
          <w:szCs w:val="24"/>
        </w:rPr>
        <w:t>iznosi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odnose se na prihode </w:t>
      </w:r>
      <w:r w:rsidRPr="002C22C6">
        <w:rPr>
          <w:rFonts w:ascii="Times New Roman" w:hAnsi="Times New Roman" w:cs="Times New Roman"/>
          <w:sz w:val="24"/>
          <w:szCs w:val="24"/>
        </w:rPr>
        <w:t xml:space="preserve">od ugovorenih projekata, dok 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najveći </w:t>
      </w:r>
      <w:r w:rsidR="00B63600" w:rsidRPr="002C22C6">
        <w:rPr>
          <w:rFonts w:ascii="Times New Roman" w:hAnsi="Times New Roman" w:cs="Times New Roman"/>
          <w:sz w:val="24"/>
          <w:szCs w:val="24"/>
        </w:rPr>
        <w:t xml:space="preserve">prijenos između proračunskih korisnika državnog proračuna očekujemo od </w:t>
      </w:r>
      <w:r w:rsidR="00B63600" w:rsidRPr="002C22C6">
        <w:rPr>
          <w:rFonts w:ascii="Times New Roman" w:hAnsi="Times New Roman" w:cs="Times New Roman"/>
          <w:i/>
          <w:sz w:val="24"/>
          <w:szCs w:val="24"/>
        </w:rPr>
        <w:t>Hrvatske zaklade za znanost</w:t>
      </w:r>
      <w:r w:rsidR="00B63600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tokom naredne </w:t>
      </w:r>
      <w:r w:rsidR="002C22C6" w:rsidRPr="002C22C6">
        <w:rPr>
          <w:rFonts w:ascii="Times New Roman" w:hAnsi="Times New Roman" w:cs="Times New Roman"/>
          <w:sz w:val="24"/>
          <w:szCs w:val="24"/>
        </w:rPr>
        <w:t>dvije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godine. 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Osim 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>Hrvatske zaklade za znanost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u istom periodu planirani su prihodi </w:t>
      </w:r>
      <w:r w:rsidR="004C6A92" w:rsidRPr="002C22C6">
        <w:rPr>
          <w:rFonts w:ascii="Times New Roman" w:hAnsi="Times New Roman" w:cs="Times New Roman"/>
          <w:sz w:val="24"/>
          <w:szCs w:val="24"/>
        </w:rPr>
        <w:t>iz izvora 52</w:t>
      </w:r>
      <w:r w:rsidR="00071052" w:rsidRPr="002C22C6">
        <w:rPr>
          <w:rFonts w:ascii="Times New Roman" w:hAnsi="Times New Roman" w:cs="Times New Roman"/>
          <w:i/>
          <w:sz w:val="24"/>
          <w:szCs w:val="24"/>
        </w:rPr>
        <w:t xml:space="preserve"> Ostale pomoći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 po projektu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 xml:space="preserve">Podizanje svijesti o rodno uvjetovanom kibernetičkom nasilju nad djevojčicama i ženama te stvaranje sigurnijeg online okruženja (Ured za ravnopravnost spolova) </w:t>
      </w:r>
      <w:r w:rsidR="002C22C6" w:rsidRPr="002C22C6">
        <w:rPr>
          <w:rFonts w:ascii="Times New Roman" w:hAnsi="Times New Roman" w:cs="Times New Roman"/>
          <w:sz w:val="24"/>
          <w:szCs w:val="24"/>
        </w:rPr>
        <w:t>te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sz w:val="24"/>
          <w:szCs w:val="24"/>
        </w:rPr>
        <w:t>ostali projekti financirani iz inozemstva.</w:t>
      </w:r>
    </w:p>
    <w:p w14:paraId="098CE76D" w14:textId="77777777" w:rsidR="00B63600" w:rsidRPr="002C22C6" w:rsidRDefault="00B63600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Vlastite prihode očekujemo od prodaje knjiga i časopisa koje izdaje Insti</w:t>
      </w:r>
      <w:r w:rsidR="00071052" w:rsidRPr="002C22C6">
        <w:rPr>
          <w:rFonts w:ascii="Times New Roman" w:hAnsi="Times New Roman" w:cs="Times New Roman"/>
          <w:sz w:val="24"/>
          <w:szCs w:val="24"/>
        </w:rPr>
        <w:t>t</w:t>
      </w:r>
      <w:r w:rsidR="008148A5">
        <w:rPr>
          <w:rFonts w:ascii="Times New Roman" w:hAnsi="Times New Roman" w:cs="Times New Roman"/>
          <w:sz w:val="24"/>
          <w:szCs w:val="24"/>
        </w:rPr>
        <w:t>ut te iz tržišnih projekata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. </w:t>
      </w:r>
      <w:r w:rsidR="002C22C6">
        <w:rPr>
          <w:rFonts w:ascii="Times New Roman" w:hAnsi="Times New Roman" w:cs="Times New Roman"/>
          <w:sz w:val="24"/>
          <w:szCs w:val="24"/>
        </w:rPr>
        <w:t xml:space="preserve"> U odnosu na Tekući plan za 202</w:t>
      </w:r>
      <w:r w:rsidR="008148A5">
        <w:rPr>
          <w:rFonts w:ascii="Times New Roman" w:hAnsi="Times New Roman" w:cs="Times New Roman"/>
          <w:sz w:val="24"/>
          <w:szCs w:val="24"/>
        </w:rPr>
        <w:t>4</w:t>
      </w:r>
      <w:r w:rsidR="002C22C6">
        <w:rPr>
          <w:rFonts w:ascii="Times New Roman" w:hAnsi="Times New Roman" w:cs="Times New Roman"/>
          <w:sz w:val="24"/>
          <w:szCs w:val="24"/>
        </w:rPr>
        <w:t>. godinu te izvršenje u 202</w:t>
      </w:r>
      <w:r w:rsidR="008148A5">
        <w:rPr>
          <w:rFonts w:ascii="Times New Roman" w:hAnsi="Times New Roman" w:cs="Times New Roman"/>
          <w:sz w:val="24"/>
          <w:szCs w:val="24"/>
        </w:rPr>
        <w:t>3</w:t>
      </w:r>
      <w:r w:rsidR="002C22C6">
        <w:rPr>
          <w:rFonts w:ascii="Times New Roman" w:hAnsi="Times New Roman" w:cs="Times New Roman"/>
          <w:sz w:val="24"/>
          <w:szCs w:val="24"/>
        </w:rPr>
        <w:t>.</w:t>
      </w:r>
      <w:r w:rsidR="00692F5F">
        <w:rPr>
          <w:rFonts w:ascii="Times New Roman" w:hAnsi="Times New Roman" w:cs="Times New Roman"/>
          <w:sz w:val="24"/>
          <w:szCs w:val="24"/>
        </w:rPr>
        <w:t xml:space="preserve"> </w:t>
      </w:r>
      <w:r w:rsidR="002C22C6">
        <w:rPr>
          <w:rFonts w:ascii="Times New Roman" w:hAnsi="Times New Roman" w:cs="Times New Roman"/>
          <w:sz w:val="24"/>
          <w:szCs w:val="24"/>
        </w:rPr>
        <w:t>godini, u 202</w:t>
      </w:r>
      <w:r w:rsidR="008148A5">
        <w:rPr>
          <w:rFonts w:ascii="Times New Roman" w:hAnsi="Times New Roman" w:cs="Times New Roman"/>
          <w:sz w:val="24"/>
          <w:szCs w:val="24"/>
        </w:rPr>
        <w:t>5</w:t>
      </w:r>
      <w:r w:rsidR="002C22C6">
        <w:rPr>
          <w:rFonts w:ascii="Times New Roman" w:hAnsi="Times New Roman" w:cs="Times New Roman"/>
          <w:sz w:val="24"/>
          <w:szCs w:val="24"/>
        </w:rPr>
        <w:t xml:space="preserve">. godini planirani su </w:t>
      </w:r>
      <w:r w:rsidR="008148A5">
        <w:rPr>
          <w:rFonts w:ascii="Times New Roman" w:hAnsi="Times New Roman" w:cs="Times New Roman"/>
          <w:sz w:val="24"/>
          <w:szCs w:val="24"/>
        </w:rPr>
        <w:t>manji pr</w:t>
      </w:r>
      <w:r w:rsidR="009D39E2">
        <w:rPr>
          <w:rFonts w:ascii="Times New Roman" w:hAnsi="Times New Roman" w:cs="Times New Roman"/>
          <w:sz w:val="24"/>
          <w:szCs w:val="24"/>
        </w:rPr>
        <w:t xml:space="preserve">ihodi od prethodne dvije godine, kao i po izvoru </w:t>
      </w:r>
      <w:r w:rsidR="009D39E2" w:rsidRPr="002C22C6">
        <w:rPr>
          <w:rFonts w:ascii="Times New Roman" w:hAnsi="Times New Roman" w:cs="Times New Roman"/>
          <w:i/>
          <w:sz w:val="24"/>
          <w:szCs w:val="24"/>
        </w:rPr>
        <w:t>61 Donacije</w:t>
      </w:r>
      <w:r w:rsidR="002C22C6">
        <w:rPr>
          <w:rFonts w:ascii="Times New Roman" w:hAnsi="Times New Roman" w:cs="Times New Roman"/>
          <w:sz w:val="24"/>
          <w:szCs w:val="24"/>
        </w:rPr>
        <w:t xml:space="preserve">. </w:t>
      </w:r>
      <w:r w:rsidR="009D39E2">
        <w:rPr>
          <w:rFonts w:ascii="Times New Roman" w:hAnsi="Times New Roman" w:cs="Times New Roman"/>
          <w:sz w:val="24"/>
          <w:szCs w:val="24"/>
        </w:rPr>
        <w:t xml:space="preserve">Razlog tome je </w:t>
      </w:r>
      <w:r w:rsidR="00692F5F">
        <w:rPr>
          <w:rFonts w:ascii="Times New Roman" w:hAnsi="Times New Roman" w:cs="Times New Roman"/>
          <w:sz w:val="24"/>
          <w:szCs w:val="24"/>
        </w:rPr>
        <w:t>neizvjesnost</w:t>
      </w:r>
      <w:r w:rsid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9D39E2">
        <w:rPr>
          <w:rFonts w:ascii="Times New Roman" w:hAnsi="Times New Roman" w:cs="Times New Roman"/>
          <w:sz w:val="24"/>
          <w:szCs w:val="24"/>
        </w:rPr>
        <w:t xml:space="preserve">ugovaranja </w:t>
      </w:r>
      <w:r w:rsidR="002C22C6">
        <w:rPr>
          <w:rFonts w:ascii="Times New Roman" w:hAnsi="Times New Roman" w:cs="Times New Roman"/>
          <w:sz w:val="24"/>
          <w:szCs w:val="24"/>
        </w:rPr>
        <w:t xml:space="preserve">novih </w:t>
      </w:r>
      <w:r w:rsidR="009D39E2">
        <w:rPr>
          <w:rFonts w:ascii="Times New Roman" w:hAnsi="Times New Roman" w:cs="Times New Roman"/>
          <w:sz w:val="24"/>
          <w:szCs w:val="24"/>
        </w:rPr>
        <w:t xml:space="preserve">tržišnih i </w:t>
      </w:r>
      <w:r w:rsidR="002C22C6">
        <w:rPr>
          <w:rFonts w:ascii="Times New Roman" w:hAnsi="Times New Roman" w:cs="Times New Roman"/>
          <w:sz w:val="24"/>
          <w:szCs w:val="24"/>
        </w:rPr>
        <w:t>ESF projekata.</w:t>
      </w:r>
    </w:p>
    <w:p w14:paraId="7D9705E7" w14:textId="77777777" w:rsidR="00D8298E" w:rsidRDefault="00D8298E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A6FCC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622FA8C5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Institut za društv</w:t>
      </w:r>
      <w:r w:rsidR="00F9155E">
        <w:rPr>
          <w:rFonts w:ascii="Times New Roman" w:hAnsi="Times New Roman" w:cs="Times New Roman"/>
          <w:sz w:val="24"/>
          <w:szCs w:val="24"/>
        </w:rPr>
        <w:t>ena istraživanja u narednoj 202</w:t>
      </w:r>
      <w:r w:rsidR="00692F5F">
        <w:rPr>
          <w:rFonts w:ascii="Times New Roman" w:hAnsi="Times New Roman" w:cs="Times New Roman"/>
          <w:sz w:val="24"/>
          <w:szCs w:val="24"/>
        </w:rPr>
        <w:t>5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godini planira </w:t>
      </w:r>
      <w:r w:rsidR="000C6705">
        <w:rPr>
          <w:rFonts w:ascii="Times New Roman" w:hAnsi="Times New Roman" w:cs="Times New Roman"/>
          <w:sz w:val="24"/>
          <w:szCs w:val="24"/>
        </w:rPr>
        <w:t>2.</w:t>
      </w:r>
      <w:r w:rsidR="00692F5F">
        <w:rPr>
          <w:rFonts w:ascii="Times New Roman" w:hAnsi="Times New Roman" w:cs="Times New Roman"/>
          <w:sz w:val="24"/>
          <w:szCs w:val="24"/>
        </w:rPr>
        <w:t>556.</w:t>
      </w:r>
      <w:r w:rsidR="00673491">
        <w:rPr>
          <w:rFonts w:ascii="Times New Roman" w:hAnsi="Times New Roman" w:cs="Times New Roman"/>
          <w:sz w:val="24"/>
          <w:szCs w:val="24"/>
        </w:rPr>
        <w:t>914</w:t>
      </w:r>
      <w:r w:rsidR="00F9155E" w:rsidRPr="00F9155E">
        <w:rPr>
          <w:rFonts w:ascii="Times New Roman" w:hAnsi="Times New Roman" w:cs="Times New Roman"/>
          <w:sz w:val="24"/>
          <w:szCs w:val="24"/>
        </w:rPr>
        <w:t xml:space="preserve"> </w:t>
      </w:r>
      <w:r w:rsidRPr="002C22C6">
        <w:rPr>
          <w:rFonts w:ascii="Times New Roman" w:hAnsi="Times New Roman" w:cs="Times New Roman"/>
          <w:sz w:val="24"/>
          <w:szCs w:val="24"/>
        </w:rPr>
        <w:t xml:space="preserve">€ rashoda od čega </w:t>
      </w:r>
      <w:r w:rsidR="00692F5F">
        <w:rPr>
          <w:rFonts w:ascii="Times New Roman" w:hAnsi="Times New Roman" w:cs="Times New Roman"/>
          <w:sz w:val="24"/>
          <w:szCs w:val="24"/>
        </w:rPr>
        <w:t>2.538.689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94152" w:rsidRPr="002C22C6">
        <w:rPr>
          <w:rFonts w:ascii="Times New Roman" w:hAnsi="Times New Roman" w:cs="Times New Roman"/>
          <w:sz w:val="24"/>
          <w:szCs w:val="24"/>
        </w:rPr>
        <w:t>€ iznose</w:t>
      </w:r>
      <w:r w:rsidRPr="002C22C6">
        <w:rPr>
          <w:rFonts w:ascii="Times New Roman" w:hAnsi="Times New Roman" w:cs="Times New Roman"/>
          <w:sz w:val="24"/>
          <w:szCs w:val="24"/>
        </w:rPr>
        <w:t xml:space="preserve"> rashodi poslovanja te </w:t>
      </w:r>
      <w:r w:rsidR="00692F5F">
        <w:rPr>
          <w:rFonts w:ascii="Times New Roman" w:hAnsi="Times New Roman" w:cs="Times New Roman"/>
          <w:sz w:val="24"/>
          <w:szCs w:val="24"/>
        </w:rPr>
        <w:t>18.225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94152" w:rsidRPr="002C22C6">
        <w:rPr>
          <w:rFonts w:ascii="Times New Roman" w:hAnsi="Times New Roman" w:cs="Times New Roman"/>
          <w:sz w:val="24"/>
          <w:szCs w:val="24"/>
        </w:rPr>
        <w:t>€ rashodi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nefinancijsku</w:t>
      </w:r>
      <w:r w:rsidR="00D8298E">
        <w:rPr>
          <w:rFonts w:ascii="Times New Roman" w:hAnsi="Times New Roman" w:cs="Times New Roman"/>
          <w:sz w:val="24"/>
          <w:szCs w:val="24"/>
        </w:rPr>
        <w:t xml:space="preserve"> imovinu. U projekcijama za 202</w:t>
      </w:r>
      <w:r w:rsidR="00692F5F">
        <w:rPr>
          <w:rFonts w:ascii="Times New Roman" w:hAnsi="Times New Roman" w:cs="Times New Roman"/>
          <w:sz w:val="24"/>
          <w:szCs w:val="24"/>
        </w:rPr>
        <w:t>6. i 2027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ukupni rashodi se sukcesivno smanjuju. </w:t>
      </w:r>
      <w:r w:rsidR="00F9155E">
        <w:rPr>
          <w:rFonts w:ascii="Times New Roman" w:hAnsi="Times New Roman" w:cs="Times New Roman"/>
          <w:sz w:val="24"/>
          <w:szCs w:val="24"/>
        </w:rPr>
        <w:t xml:space="preserve">Razlog smanjenja planiranih rashoda za nefinancijsku imovinu je zbog uloženih sredstava u dugotrajnu imovinu prethodnih godina. </w:t>
      </w:r>
    </w:p>
    <w:p w14:paraId="596A683A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D7107" w14:textId="77777777" w:rsidR="004A7631" w:rsidRDefault="00BC7B73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Najveći</w:t>
      </w:r>
      <w:r w:rsidR="000749A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31D45" w:rsidRPr="002C22C6">
        <w:rPr>
          <w:rFonts w:ascii="Times New Roman" w:hAnsi="Times New Roman" w:cs="Times New Roman"/>
          <w:sz w:val="24"/>
          <w:szCs w:val="24"/>
        </w:rPr>
        <w:t>udio planiranih rashoda</w:t>
      </w:r>
      <w:r w:rsidR="000749A9" w:rsidRPr="002C22C6">
        <w:rPr>
          <w:rFonts w:ascii="Times New Roman" w:hAnsi="Times New Roman" w:cs="Times New Roman"/>
          <w:sz w:val="24"/>
          <w:szCs w:val="24"/>
        </w:rPr>
        <w:t xml:space="preserve"> odnose se na aktivnosti redovnog poslovan</w:t>
      </w:r>
      <w:r w:rsidR="003E4AD4">
        <w:rPr>
          <w:rFonts w:ascii="Times New Roman" w:hAnsi="Times New Roman" w:cs="Times New Roman"/>
          <w:sz w:val="24"/>
          <w:szCs w:val="24"/>
        </w:rPr>
        <w:t>ja te programsko</w:t>
      </w:r>
      <w:r w:rsidR="002F71BB">
        <w:rPr>
          <w:rFonts w:ascii="Times New Roman" w:hAnsi="Times New Roman" w:cs="Times New Roman"/>
          <w:sz w:val="24"/>
          <w:szCs w:val="24"/>
        </w:rPr>
        <w:t>g financiranja a iskazani iznosi</w:t>
      </w:r>
      <w:r w:rsidR="003E4AD4">
        <w:rPr>
          <w:rFonts w:ascii="Times New Roman" w:hAnsi="Times New Roman" w:cs="Times New Roman"/>
          <w:sz w:val="24"/>
          <w:szCs w:val="24"/>
        </w:rPr>
        <w:t xml:space="preserve"> </w:t>
      </w:r>
      <w:r w:rsidR="000749A9" w:rsidRPr="002C22C6">
        <w:rPr>
          <w:rFonts w:ascii="Times New Roman" w:hAnsi="Times New Roman" w:cs="Times New Roman"/>
          <w:sz w:val="24"/>
          <w:szCs w:val="24"/>
        </w:rPr>
        <w:t>usklađeni su sa danim limitima</w:t>
      </w:r>
      <w:r w:rsidRPr="002C22C6">
        <w:rPr>
          <w:rFonts w:ascii="Times New Roman" w:hAnsi="Times New Roman" w:cs="Times New Roman"/>
          <w:sz w:val="24"/>
          <w:szCs w:val="24"/>
        </w:rPr>
        <w:t xml:space="preserve"> od strane nadležnog ministarstva</w:t>
      </w:r>
      <w:r w:rsidR="004A7631">
        <w:rPr>
          <w:rFonts w:ascii="Times New Roman" w:hAnsi="Times New Roman" w:cs="Times New Roman"/>
          <w:sz w:val="24"/>
          <w:szCs w:val="24"/>
        </w:rPr>
        <w:t xml:space="preserve"> (</w:t>
      </w:r>
      <w:r w:rsidR="004A7631" w:rsidRPr="008A6022">
        <w:rPr>
          <w:rFonts w:ascii="Times New Roman" w:hAnsi="Times New Roman" w:cs="Times New Roman"/>
          <w:i/>
          <w:sz w:val="24"/>
          <w:szCs w:val="24"/>
        </w:rPr>
        <w:t>1.1 Opći prihodi i primici</w:t>
      </w:r>
      <w:r w:rsidR="004A7631">
        <w:rPr>
          <w:rFonts w:ascii="Times New Roman" w:hAnsi="Times New Roman" w:cs="Times New Roman"/>
          <w:sz w:val="24"/>
          <w:szCs w:val="24"/>
        </w:rPr>
        <w:t xml:space="preserve"> te </w:t>
      </w:r>
      <w:r w:rsidR="004A7631"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 w:rsidR="004A7631">
        <w:rPr>
          <w:rFonts w:ascii="Times New Roman" w:hAnsi="Times New Roman" w:cs="Times New Roman"/>
          <w:i/>
          <w:sz w:val="24"/>
          <w:szCs w:val="24"/>
        </w:rPr>
        <w:t>i za oporavak i otpornost)</w:t>
      </w:r>
      <w:r w:rsidRPr="002C22C6">
        <w:rPr>
          <w:rFonts w:ascii="Times New Roman" w:hAnsi="Times New Roman" w:cs="Times New Roman"/>
          <w:sz w:val="24"/>
          <w:szCs w:val="24"/>
        </w:rPr>
        <w:t xml:space="preserve">. </w:t>
      </w:r>
      <w:r w:rsidR="00692F5F">
        <w:rPr>
          <w:rFonts w:ascii="Times New Roman" w:hAnsi="Times New Roman" w:cs="Times New Roman"/>
          <w:sz w:val="24"/>
          <w:szCs w:val="24"/>
        </w:rPr>
        <w:t xml:space="preserve">Rashodi iz izvora </w:t>
      </w:r>
      <w:r w:rsidR="00692F5F" w:rsidRPr="00692F5F">
        <w:rPr>
          <w:rFonts w:ascii="Times New Roman" w:hAnsi="Times New Roman" w:cs="Times New Roman"/>
          <w:i/>
          <w:sz w:val="24"/>
          <w:szCs w:val="24"/>
        </w:rPr>
        <w:t xml:space="preserve">1.1 </w:t>
      </w:r>
      <w:r w:rsidR="00692F5F" w:rsidRPr="008A6022">
        <w:rPr>
          <w:rFonts w:ascii="Times New Roman" w:hAnsi="Times New Roman" w:cs="Times New Roman"/>
          <w:i/>
          <w:sz w:val="24"/>
          <w:szCs w:val="24"/>
        </w:rPr>
        <w:t>Opći prihodi i primici</w:t>
      </w:r>
      <w:r w:rsidR="00692F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0969" w:rsidRPr="00090969">
        <w:rPr>
          <w:rFonts w:ascii="Times New Roman" w:hAnsi="Times New Roman" w:cs="Times New Roman"/>
          <w:sz w:val="24"/>
          <w:szCs w:val="24"/>
        </w:rPr>
        <w:t xml:space="preserve">iznose 1.860.872 </w:t>
      </w:r>
      <w:r w:rsidR="00090969" w:rsidRPr="002C22C6">
        <w:rPr>
          <w:rFonts w:ascii="Times New Roman" w:hAnsi="Times New Roman" w:cs="Times New Roman"/>
          <w:sz w:val="24"/>
          <w:szCs w:val="24"/>
        </w:rPr>
        <w:t>€</w:t>
      </w:r>
      <w:r w:rsidR="00090969">
        <w:rPr>
          <w:rFonts w:ascii="Times New Roman" w:hAnsi="Times New Roman" w:cs="Times New Roman"/>
          <w:sz w:val="24"/>
          <w:szCs w:val="24"/>
        </w:rPr>
        <w:t xml:space="preserve"> za sve tri godine, što je 72,80% ukupno planiranih rashoda za 2025. godinu. Osim materijalnih troškova i plaća zaposlenika, trošak osnovne i razvojne komponente iz Programskog ugovora iznosi 180.000 </w:t>
      </w:r>
      <w:r w:rsidR="00090969" w:rsidRPr="002C22C6">
        <w:rPr>
          <w:rFonts w:ascii="Times New Roman" w:hAnsi="Times New Roman" w:cs="Times New Roman"/>
          <w:sz w:val="24"/>
          <w:szCs w:val="24"/>
        </w:rPr>
        <w:t>€</w:t>
      </w:r>
      <w:r w:rsidR="0009096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561255" w14:textId="77777777" w:rsidR="00090969" w:rsidRPr="00692F5F" w:rsidRDefault="0009096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969">
        <w:rPr>
          <w:rFonts w:ascii="Times New Roman" w:hAnsi="Times New Roman" w:cs="Times New Roman"/>
          <w:sz w:val="24"/>
          <w:szCs w:val="24"/>
        </w:rPr>
        <w:t xml:space="preserve">Izvor </w:t>
      </w:r>
      <w:r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>
        <w:rPr>
          <w:rFonts w:ascii="Times New Roman" w:hAnsi="Times New Roman" w:cs="Times New Roman"/>
          <w:i/>
          <w:sz w:val="24"/>
          <w:szCs w:val="24"/>
        </w:rPr>
        <w:t xml:space="preserve">i za oporavak i otpornost </w:t>
      </w:r>
      <w:r>
        <w:rPr>
          <w:rFonts w:ascii="Times New Roman" w:hAnsi="Times New Roman" w:cs="Times New Roman"/>
          <w:sz w:val="24"/>
          <w:szCs w:val="24"/>
        </w:rPr>
        <w:t>dio je Programskog ugovora, a rashodi se odnose na ugovorenih sedam programskih projekata. Rashoda u 2023. godini po to izvoru nije bilo budući da su projekti ugovoreni krajem 2023. godine sa početkom realizacije u 2024. godini.</w:t>
      </w:r>
    </w:p>
    <w:p w14:paraId="7509F2DC" w14:textId="77777777" w:rsidR="000749A9" w:rsidRPr="002C22C6" w:rsidRDefault="004A7631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Osim rashoda po izvorima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>1.1 Opći prihodi i primici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7631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>
        <w:rPr>
          <w:rFonts w:ascii="Times New Roman" w:hAnsi="Times New Roman" w:cs="Times New Roman"/>
          <w:i/>
          <w:sz w:val="24"/>
          <w:szCs w:val="24"/>
        </w:rPr>
        <w:t>i za oporavak i otpornost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, po aktivnostima </w:t>
      </w:r>
      <w:r>
        <w:rPr>
          <w:rFonts w:ascii="Times New Roman" w:hAnsi="Times New Roman" w:cs="Times New Roman"/>
          <w:sz w:val="24"/>
          <w:szCs w:val="24"/>
        </w:rPr>
        <w:t>Samostalna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djelatnost javnih instituta planirani su rashodi iz izvora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 xml:space="preserve">3.1 Vlastiti prihodi  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u iznosu </w:t>
      </w:r>
      <w:r w:rsidR="00090969">
        <w:rPr>
          <w:rFonts w:ascii="Times New Roman" w:hAnsi="Times New Roman" w:cs="Times New Roman"/>
          <w:sz w:val="24"/>
          <w:szCs w:val="24"/>
        </w:rPr>
        <w:t>39.078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,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>6.1 Donacije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0969">
        <w:rPr>
          <w:rFonts w:ascii="Times New Roman" w:hAnsi="Times New Roman" w:cs="Times New Roman"/>
          <w:sz w:val="24"/>
          <w:szCs w:val="24"/>
        </w:rPr>
        <w:t>19.060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D4414A">
        <w:rPr>
          <w:rFonts w:ascii="Times New Roman" w:hAnsi="Times New Roman" w:cs="Times New Roman"/>
          <w:sz w:val="24"/>
          <w:szCs w:val="24"/>
        </w:rPr>
        <w:t xml:space="preserve"> te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5.2 Ostale pomoći </w:t>
      </w:r>
      <w:r w:rsidR="00090969">
        <w:rPr>
          <w:rFonts w:ascii="Times New Roman" w:hAnsi="Times New Roman" w:cs="Times New Roman"/>
          <w:sz w:val="24"/>
          <w:szCs w:val="24"/>
        </w:rPr>
        <w:t>472.255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. Rashodi su planirani po projektima navedenim u Obrazloženju Posebnog dijela financijskog plana. </w:t>
      </w:r>
    </w:p>
    <w:p w14:paraId="19B6D3AA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E2F069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14:paraId="3E2DA2D8" w14:textId="77777777" w:rsidR="00C56922" w:rsidRPr="002C22C6" w:rsidRDefault="00C5692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D02DF" w14:textId="77777777" w:rsidR="00C56922" w:rsidRPr="002C22C6" w:rsidRDefault="00C5692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 xml:space="preserve">Razlika između prihoda i rashoda planiranih </w:t>
      </w:r>
      <w:r w:rsidR="006B30B9">
        <w:rPr>
          <w:rFonts w:ascii="Times New Roman" w:hAnsi="Times New Roman" w:cs="Times New Roman"/>
          <w:sz w:val="24"/>
          <w:szCs w:val="24"/>
        </w:rPr>
        <w:t>u 202</w:t>
      </w:r>
      <w:r w:rsidR="00090969">
        <w:rPr>
          <w:rFonts w:ascii="Times New Roman" w:hAnsi="Times New Roman" w:cs="Times New Roman"/>
          <w:sz w:val="24"/>
          <w:szCs w:val="24"/>
        </w:rPr>
        <w:t>5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. godini </w:t>
      </w:r>
      <w:r w:rsidRPr="002C22C6">
        <w:rPr>
          <w:rFonts w:ascii="Times New Roman" w:hAnsi="Times New Roman" w:cs="Times New Roman"/>
          <w:sz w:val="24"/>
          <w:szCs w:val="24"/>
        </w:rPr>
        <w:t xml:space="preserve">iskazanih u Općem dijelu iznosi </w:t>
      </w:r>
      <w:r w:rsidR="00090969">
        <w:rPr>
          <w:rFonts w:ascii="Times New Roman" w:hAnsi="Times New Roman" w:cs="Times New Roman"/>
          <w:sz w:val="24"/>
          <w:szCs w:val="24"/>
        </w:rPr>
        <w:t>21.694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>. Navedeni manjak biti će pokriven donos</w:t>
      </w:r>
      <w:r w:rsidR="00041A0C" w:rsidRPr="002C22C6">
        <w:rPr>
          <w:rFonts w:ascii="Times New Roman" w:hAnsi="Times New Roman" w:cs="Times New Roman"/>
          <w:sz w:val="24"/>
          <w:szCs w:val="24"/>
        </w:rPr>
        <w:t>o</w:t>
      </w:r>
      <w:r w:rsidRPr="002C22C6">
        <w:rPr>
          <w:rFonts w:ascii="Times New Roman" w:hAnsi="Times New Roman" w:cs="Times New Roman"/>
          <w:sz w:val="24"/>
          <w:szCs w:val="24"/>
        </w:rPr>
        <w:t>m sredstava iz pretho</w:t>
      </w:r>
      <w:r w:rsidR="00041A0C" w:rsidRPr="002C22C6">
        <w:rPr>
          <w:rFonts w:ascii="Times New Roman" w:hAnsi="Times New Roman" w:cs="Times New Roman"/>
          <w:sz w:val="24"/>
          <w:szCs w:val="24"/>
        </w:rPr>
        <w:t>d</w:t>
      </w:r>
      <w:r w:rsidR="006B30B9">
        <w:rPr>
          <w:rFonts w:ascii="Times New Roman" w:hAnsi="Times New Roman" w:cs="Times New Roman"/>
          <w:sz w:val="24"/>
          <w:szCs w:val="24"/>
        </w:rPr>
        <w:t>ne 202</w:t>
      </w:r>
      <w:r w:rsidR="00090969">
        <w:rPr>
          <w:rFonts w:ascii="Times New Roman" w:hAnsi="Times New Roman" w:cs="Times New Roman"/>
          <w:sz w:val="24"/>
          <w:szCs w:val="24"/>
        </w:rPr>
        <w:t>4</w:t>
      </w:r>
      <w:r w:rsidRPr="002C22C6">
        <w:rPr>
          <w:rFonts w:ascii="Times New Roman" w:hAnsi="Times New Roman" w:cs="Times New Roman"/>
          <w:sz w:val="24"/>
          <w:szCs w:val="24"/>
        </w:rPr>
        <w:t>. godine.</w:t>
      </w:r>
    </w:p>
    <w:p w14:paraId="0EF40D04" w14:textId="77777777" w:rsidR="00C56922" w:rsidRPr="002C22C6" w:rsidRDefault="006B30B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Planirani donos u 202</w:t>
      </w:r>
      <w:r w:rsidR="00090969">
        <w:rPr>
          <w:rFonts w:ascii="Times New Roman" w:hAnsi="Times New Roman" w:cs="Times New Roman"/>
          <w:sz w:val="24"/>
          <w:szCs w:val="24"/>
        </w:rPr>
        <w:t>5</w:t>
      </w:r>
      <w:r w:rsidR="00C56922" w:rsidRPr="002C22C6">
        <w:rPr>
          <w:rFonts w:ascii="Times New Roman" w:hAnsi="Times New Roman" w:cs="Times New Roman"/>
          <w:sz w:val="24"/>
          <w:szCs w:val="24"/>
        </w:rPr>
        <w:t>.</w:t>
      </w:r>
      <w:r w:rsidR="006E4F85">
        <w:rPr>
          <w:rFonts w:ascii="Times New Roman" w:hAnsi="Times New Roman" w:cs="Times New Roman"/>
          <w:sz w:val="24"/>
          <w:szCs w:val="24"/>
        </w:rPr>
        <w:t xml:space="preserve"> </w:t>
      </w:r>
      <w:r w:rsidR="00C56922" w:rsidRPr="002C22C6">
        <w:rPr>
          <w:rFonts w:ascii="Times New Roman" w:hAnsi="Times New Roman" w:cs="Times New Roman"/>
          <w:sz w:val="24"/>
          <w:szCs w:val="24"/>
        </w:rPr>
        <w:t>godin</w:t>
      </w:r>
      <w:r w:rsidR="006E4F85">
        <w:rPr>
          <w:rFonts w:ascii="Times New Roman" w:hAnsi="Times New Roman" w:cs="Times New Roman"/>
          <w:sz w:val="24"/>
          <w:szCs w:val="24"/>
        </w:rPr>
        <w:t>u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iznosi </w:t>
      </w:r>
      <w:r w:rsidR="00090969">
        <w:rPr>
          <w:rFonts w:ascii="Times New Roman" w:hAnsi="Times New Roman" w:cs="Times New Roman"/>
          <w:sz w:val="24"/>
          <w:szCs w:val="24"/>
        </w:rPr>
        <w:t>504.900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71052" w:rsidRPr="002C22C6">
        <w:rPr>
          <w:rFonts w:ascii="Times New Roman" w:hAnsi="Times New Roman" w:cs="Times New Roman"/>
          <w:sz w:val="24"/>
          <w:szCs w:val="24"/>
        </w:rPr>
        <w:t>a odnosi se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isključivo </w:t>
      </w:r>
      <w:r w:rsidR="00041A0C" w:rsidRPr="002C22C6">
        <w:rPr>
          <w:rFonts w:ascii="Times New Roman" w:hAnsi="Times New Roman" w:cs="Times New Roman"/>
          <w:sz w:val="24"/>
          <w:szCs w:val="24"/>
        </w:rPr>
        <w:t>rashode financirane iz izvora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3.1 Vlastiti prihodi, </w:t>
      </w:r>
      <w:r w:rsidR="00090969">
        <w:rPr>
          <w:rFonts w:ascii="Times New Roman" w:hAnsi="Times New Roman" w:cs="Times New Roman"/>
          <w:i/>
          <w:sz w:val="24"/>
          <w:szCs w:val="24"/>
        </w:rPr>
        <w:t>6.1 Donacije,</w:t>
      </w:r>
      <w:r w:rsidRPr="006B3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5.2 Ostale pomoći</w:t>
      </w:r>
      <w:r w:rsidR="000909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0969" w:rsidRPr="00090969">
        <w:rPr>
          <w:rFonts w:ascii="Times New Roman" w:hAnsi="Times New Roman" w:cs="Times New Roman"/>
          <w:sz w:val="24"/>
          <w:szCs w:val="24"/>
        </w:rPr>
        <w:t>i</w:t>
      </w:r>
      <w:r w:rsidR="000909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0969"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 w:rsidR="00090969">
        <w:rPr>
          <w:rFonts w:ascii="Times New Roman" w:hAnsi="Times New Roman" w:cs="Times New Roman"/>
          <w:i/>
          <w:sz w:val="24"/>
          <w:szCs w:val="24"/>
        </w:rPr>
        <w:t xml:space="preserve">i za oporavak i otpornost 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41A0C" w:rsidRPr="002C22C6">
        <w:rPr>
          <w:rFonts w:ascii="Times New Roman" w:hAnsi="Times New Roman" w:cs="Times New Roman"/>
          <w:sz w:val="24"/>
          <w:szCs w:val="24"/>
        </w:rPr>
        <w:t>Odnos i donos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 po izvoru </w:t>
      </w:r>
      <w:r w:rsidR="00071052" w:rsidRPr="002C22C6">
        <w:rPr>
          <w:rFonts w:ascii="Times New Roman" w:hAnsi="Times New Roman" w:cs="Times New Roman"/>
          <w:i/>
          <w:sz w:val="24"/>
          <w:szCs w:val="24"/>
        </w:rPr>
        <w:t>1.1 Opći primici i prihodi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 nisu planirani. </w:t>
      </w:r>
    </w:p>
    <w:p w14:paraId="43A40A6D" w14:textId="77777777" w:rsidR="00C56922" w:rsidRPr="002C22C6" w:rsidRDefault="006B30B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202</w:t>
      </w:r>
      <w:r w:rsidR="00090969">
        <w:rPr>
          <w:rFonts w:ascii="Times New Roman" w:hAnsi="Times New Roman" w:cs="Times New Roman"/>
          <w:sz w:val="24"/>
          <w:szCs w:val="24"/>
        </w:rPr>
        <w:t>5</w:t>
      </w:r>
      <w:r w:rsidR="00041A0C" w:rsidRPr="002C22C6">
        <w:rPr>
          <w:rFonts w:ascii="Times New Roman" w:hAnsi="Times New Roman" w:cs="Times New Roman"/>
          <w:sz w:val="24"/>
          <w:szCs w:val="24"/>
        </w:rPr>
        <w:t>. godine planirani je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odnos u iznosu </w:t>
      </w:r>
      <w:r w:rsidR="00ED0A37">
        <w:rPr>
          <w:rFonts w:ascii="Times New Roman" w:hAnsi="Times New Roman" w:cs="Times New Roman"/>
          <w:sz w:val="24"/>
          <w:szCs w:val="24"/>
        </w:rPr>
        <w:t>526.594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€. </w:t>
      </w:r>
      <w:r w:rsidR="00C56922" w:rsidRPr="002C22C6">
        <w:rPr>
          <w:rFonts w:ascii="Times New Roman" w:hAnsi="Times New Roman" w:cs="Times New Roman"/>
          <w:sz w:val="24"/>
          <w:szCs w:val="24"/>
        </w:rPr>
        <w:t>Na isti</w:t>
      </w:r>
      <w:r>
        <w:rPr>
          <w:rFonts w:ascii="Times New Roman" w:hAnsi="Times New Roman" w:cs="Times New Roman"/>
          <w:sz w:val="24"/>
          <w:szCs w:val="24"/>
        </w:rPr>
        <w:t xml:space="preserve"> način planiran je odnos iz 202</w:t>
      </w:r>
      <w:r w:rsidR="006E4F8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u 202</w:t>
      </w:r>
      <w:r w:rsidR="006E4F85">
        <w:rPr>
          <w:rFonts w:ascii="Times New Roman" w:hAnsi="Times New Roman" w:cs="Times New Roman"/>
          <w:sz w:val="24"/>
          <w:szCs w:val="24"/>
        </w:rPr>
        <w:t>7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. godinu u 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ukupnom 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iznosu </w:t>
      </w:r>
      <w:r w:rsidR="00ED0A37">
        <w:rPr>
          <w:rFonts w:ascii="Times New Roman" w:hAnsi="Times New Roman" w:cs="Times New Roman"/>
          <w:sz w:val="24"/>
          <w:szCs w:val="24"/>
        </w:rPr>
        <w:t>451.685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30C561" w14:textId="77777777" w:rsidR="00221AC1" w:rsidRDefault="0007105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Navedena sredstva prenosimo iz godine u godin</w:t>
      </w:r>
      <w:r w:rsidR="00090969">
        <w:rPr>
          <w:rFonts w:ascii="Times New Roman" w:hAnsi="Times New Roman" w:cs="Times New Roman"/>
          <w:sz w:val="24"/>
          <w:szCs w:val="24"/>
        </w:rPr>
        <w:t xml:space="preserve">u sukladno provedbama projekata. </w:t>
      </w:r>
      <w:r w:rsidR="00606DB0">
        <w:rPr>
          <w:rFonts w:ascii="Times New Roman" w:hAnsi="Times New Roman" w:cs="Times New Roman"/>
          <w:sz w:val="24"/>
          <w:szCs w:val="24"/>
        </w:rPr>
        <w:t>Na kraju 202</w:t>
      </w:r>
      <w:r w:rsidR="00090969">
        <w:rPr>
          <w:rFonts w:ascii="Times New Roman" w:hAnsi="Times New Roman" w:cs="Times New Roman"/>
          <w:sz w:val="24"/>
          <w:szCs w:val="24"/>
        </w:rPr>
        <w:t>7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. godine planirani je odnos </w:t>
      </w:r>
      <w:r w:rsidR="00090969">
        <w:rPr>
          <w:rFonts w:ascii="Times New Roman" w:hAnsi="Times New Roman" w:cs="Times New Roman"/>
          <w:sz w:val="24"/>
          <w:szCs w:val="24"/>
        </w:rPr>
        <w:t>214.280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90969">
        <w:rPr>
          <w:rFonts w:ascii="Times New Roman" w:hAnsi="Times New Roman" w:cs="Times New Roman"/>
          <w:sz w:val="24"/>
          <w:szCs w:val="24"/>
        </w:rPr>
        <w:t>€ u 2028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.godinu. </w:t>
      </w:r>
    </w:p>
    <w:p w14:paraId="7510BC2E" w14:textId="77777777" w:rsidR="00963382" w:rsidRDefault="0096338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0156B" w14:textId="77777777" w:rsidR="00963382" w:rsidRPr="00963382" w:rsidRDefault="00963382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382">
        <w:rPr>
          <w:rFonts w:ascii="Times New Roman" w:hAnsi="Times New Roman" w:cs="Times New Roman"/>
          <w:b/>
          <w:sz w:val="24"/>
          <w:szCs w:val="24"/>
        </w:rPr>
        <w:t>RAČUN FINANCIRANJA</w:t>
      </w:r>
    </w:p>
    <w:p w14:paraId="6A126224" w14:textId="77777777" w:rsidR="002F71BB" w:rsidRPr="00963382" w:rsidRDefault="0096338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491">
        <w:rPr>
          <w:rFonts w:ascii="Times New Roman" w:hAnsi="Times New Roman" w:cs="Times New Roman"/>
          <w:i/>
          <w:sz w:val="24"/>
          <w:szCs w:val="24"/>
        </w:rPr>
        <w:lastRenderedPageBreak/>
        <w:t>Institut za društvena istraživanja</w:t>
      </w:r>
      <w:r w:rsidRPr="009633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 financira isključivo iz prihoda državnog proračuna i projekata. U računu financiranja po ekonomskoj klasifikaciji i izvorima financiranja evidentirane su nule budući da Institut nije planirao u trogodišnjem razdoblju Primitke i izdatke od financijske imovine i zaduživanja.</w:t>
      </w:r>
    </w:p>
    <w:p w14:paraId="5E4BE8BA" w14:textId="77777777" w:rsidR="002F71BB" w:rsidRDefault="002F71BB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2C05C2" w14:textId="77777777" w:rsidR="00186B7B" w:rsidRPr="00221AC1" w:rsidRDefault="00186B7B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14:paraId="30E5A351" w14:textId="77777777" w:rsidR="00460C6A" w:rsidRPr="002C22C6" w:rsidRDefault="00460C6A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72AF9" w14:textId="77777777" w:rsidR="00186B7B" w:rsidRPr="002C22C6" w:rsidRDefault="00460C6A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U  financijskim izvještajima Instituta za društvena istraživanja u Zagrebu prikazana su sljedeća stanja ukupnih i dospjelih obveza</w:t>
      </w:r>
      <w:r w:rsidR="00F70550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186B7B" w:rsidRPr="002C22C6">
        <w:rPr>
          <w:rFonts w:ascii="Times New Roman" w:hAnsi="Times New Roman" w:cs="Times New Roman"/>
          <w:sz w:val="24"/>
          <w:szCs w:val="24"/>
        </w:rPr>
        <w:t xml:space="preserve">na dan 31. prosinca prethodne godine i </w:t>
      </w:r>
      <w:r w:rsidR="00DD2586" w:rsidRPr="002C22C6">
        <w:rPr>
          <w:rFonts w:ascii="Times New Roman" w:hAnsi="Times New Roman" w:cs="Times New Roman"/>
          <w:sz w:val="24"/>
          <w:szCs w:val="24"/>
        </w:rPr>
        <w:t>na dan 30. lipnja tekuće godine</w:t>
      </w:r>
      <w:r w:rsidRPr="002C22C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2C22C6" w14:paraId="5111D83D" w14:textId="77777777" w:rsidTr="009D7CA0">
        <w:tc>
          <w:tcPr>
            <w:tcW w:w="1838" w:type="dxa"/>
          </w:tcPr>
          <w:p w14:paraId="31F8766A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E37FF9" w14:textId="77777777" w:rsidR="009D7CA0" w:rsidRPr="002C22C6" w:rsidRDefault="009D7CA0" w:rsidP="00ED0A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 xml:space="preserve">Stanje </w:t>
            </w:r>
            <w:r w:rsidR="006B30B9">
              <w:rPr>
                <w:rFonts w:ascii="Times New Roman" w:hAnsi="Times New Roman" w:cs="Times New Roman"/>
                <w:sz w:val="24"/>
                <w:szCs w:val="24"/>
              </w:rPr>
              <w:t>obveza na dan 31.12.202</w:t>
            </w:r>
            <w:r w:rsidR="00ED0A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69B14786" w14:textId="77777777" w:rsidR="009D7CA0" w:rsidRPr="002C22C6" w:rsidRDefault="00BB75E6" w:rsidP="00ED0A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ED0A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7CA0" w:rsidRPr="002C2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CA0" w:rsidRPr="002C22C6" w14:paraId="7A2A3491" w14:textId="77777777" w:rsidTr="009D7CA0">
        <w:tc>
          <w:tcPr>
            <w:tcW w:w="1838" w:type="dxa"/>
          </w:tcPr>
          <w:p w14:paraId="34A17FF7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32B6FE79" w14:textId="77777777" w:rsidR="009D7CA0" w:rsidRPr="002C22C6" w:rsidRDefault="006B30B9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D0A37" w:rsidRPr="00ED0A37">
              <w:rPr>
                <w:rFonts w:ascii="Times New Roman" w:hAnsi="Times New Roman" w:cs="Times New Roman"/>
                <w:sz w:val="24"/>
                <w:szCs w:val="24"/>
              </w:rPr>
              <w:t xml:space="preserve">125.582,91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  <w:tc>
          <w:tcPr>
            <w:tcW w:w="3680" w:type="dxa"/>
          </w:tcPr>
          <w:p w14:paraId="314D3655" w14:textId="77777777" w:rsidR="009D7CA0" w:rsidRPr="002C22C6" w:rsidRDefault="00D54EE8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8">
              <w:rPr>
                <w:rFonts w:ascii="Times New Roman" w:hAnsi="Times New Roman" w:cs="Times New Roman"/>
                <w:sz w:val="24"/>
                <w:szCs w:val="24"/>
              </w:rPr>
              <w:t xml:space="preserve">145.876,65 </w:t>
            </w:r>
            <w:r w:rsidR="006B30B9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9D7CA0" w:rsidRPr="002C22C6" w14:paraId="7DBDB253" w14:textId="77777777" w:rsidTr="009D7CA0">
        <w:tc>
          <w:tcPr>
            <w:tcW w:w="1838" w:type="dxa"/>
          </w:tcPr>
          <w:p w14:paraId="402F88C6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7A9EF58F" w14:textId="77777777" w:rsidR="008C5BF2" w:rsidRPr="002C22C6" w:rsidRDefault="008C5BF2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0" w:type="dxa"/>
          </w:tcPr>
          <w:p w14:paraId="3F3F62CA" w14:textId="77777777" w:rsidR="009D7CA0" w:rsidRPr="002C22C6" w:rsidRDefault="008C5BF2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16F1D46" w14:textId="77777777" w:rsidR="000D0A1C" w:rsidRPr="002C22C6" w:rsidRDefault="000D0A1C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D0A1C" w:rsidRPr="002C2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07826"/>
    <w:rsid w:val="00041A0C"/>
    <w:rsid w:val="00071052"/>
    <w:rsid w:val="000749A9"/>
    <w:rsid w:val="00090969"/>
    <w:rsid w:val="000A1A2E"/>
    <w:rsid w:val="000C6705"/>
    <w:rsid w:val="000D0A1C"/>
    <w:rsid w:val="000E5143"/>
    <w:rsid w:val="00120DB9"/>
    <w:rsid w:val="00143083"/>
    <w:rsid w:val="00160A5C"/>
    <w:rsid w:val="00162D9A"/>
    <w:rsid w:val="00186B7B"/>
    <w:rsid w:val="00221AC1"/>
    <w:rsid w:val="0023156C"/>
    <w:rsid w:val="00245B1D"/>
    <w:rsid w:val="00294152"/>
    <w:rsid w:val="0029735D"/>
    <w:rsid w:val="00297F7A"/>
    <w:rsid w:val="002C22C6"/>
    <w:rsid w:val="002F71BB"/>
    <w:rsid w:val="003A22DB"/>
    <w:rsid w:val="003D136C"/>
    <w:rsid w:val="003E4AD4"/>
    <w:rsid w:val="00407290"/>
    <w:rsid w:val="00460C6A"/>
    <w:rsid w:val="00466878"/>
    <w:rsid w:val="004A7631"/>
    <w:rsid w:val="004C6A92"/>
    <w:rsid w:val="005722A3"/>
    <w:rsid w:val="00577A43"/>
    <w:rsid w:val="005C1418"/>
    <w:rsid w:val="005D2E88"/>
    <w:rsid w:val="00604E40"/>
    <w:rsid w:val="00605080"/>
    <w:rsid w:val="00606DB0"/>
    <w:rsid w:val="00623553"/>
    <w:rsid w:val="00624C16"/>
    <w:rsid w:val="006300D9"/>
    <w:rsid w:val="00673491"/>
    <w:rsid w:val="00692F5F"/>
    <w:rsid w:val="006B30B9"/>
    <w:rsid w:val="006E4F85"/>
    <w:rsid w:val="006F2078"/>
    <w:rsid w:val="0070110A"/>
    <w:rsid w:val="00701C10"/>
    <w:rsid w:val="0072334A"/>
    <w:rsid w:val="007459B8"/>
    <w:rsid w:val="0079145B"/>
    <w:rsid w:val="008148A5"/>
    <w:rsid w:val="00886D68"/>
    <w:rsid w:val="008871E1"/>
    <w:rsid w:val="008A6022"/>
    <w:rsid w:val="008B3BD0"/>
    <w:rsid w:val="008C5BF2"/>
    <w:rsid w:val="008E11F4"/>
    <w:rsid w:val="0094274B"/>
    <w:rsid w:val="00963382"/>
    <w:rsid w:val="00975BA7"/>
    <w:rsid w:val="009D39E2"/>
    <w:rsid w:val="009D7CA0"/>
    <w:rsid w:val="00A51AB2"/>
    <w:rsid w:val="00A879E2"/>
    <w:rsid w:val="00AB4BED"/>
    <w:rsid w:val="00AC288F"/>
    <w:rsid w:val="00AE2812"/>
    <w:rsid w:val="00AE5383"/>
    <w:rsid w:val="00B4596B"/>
    <w:rsid w:val="00B63600"/>
    <w:rsid w:val="00B7793B"/>
    <w:rsid w:val="00BB75E6"/>
    <w:rsid w:val="00BC1664"/>
    <w:rsid w:val="00BC7B73"/>
    <w:rsid w:val="00BF44C6"/>
    <w:rsid w:val="00C14184"/>
    <w:rsid w:val="00C14BB3"/>
    <w:rsid w:val="00C40413"/>
    <w:rsid w:val="00C56922"/>
    <w:rsid w:val="00CA12E2"/>
    <w:rsid w:val="00CE3559"/>
    <w:rsid w:val="00D019AB"/>
    <w:rsid w:val="00D4414A"/>
    <w:rsid w:val="00D54EE8"/>
    <w:rsid w:val="00D60045"/>
    <w:rsid w:val="00D61145"/>
    <w:rsid w:val="00D6606B"/>
    <w:rsid w:val="00D66F8B"/>
    <w:rsid w:val="00D8298E"/>
    <w:rsid w:val="00DD2586"/>
    <w:rsid w:val="00DD5DCF"/>
    <w:rsid w:val="00DF778D"/>
    <w:rsid w:val="00E34EA9"/>
    <w:rsid w:val="00E376C5"/>
    <w:rsid w:val="00E63413"/>
    <w:rsid w:val="00E74D93"/>
    <w:rsid w:val="00ED0A37"/>
    <w:rsid w:val="00EF2AD3"/>
    <w:rsid w:val="00F31D45"/>
    <w:rsid w:val="00F46913"/>
    <w:rsid w:val="00F471E7"/>
    <w:rsid w:val="00F479C9"/>
    <w:rsid w:val="00F70550"/>
    <w:rsid w:val="00F9155E"/>
    <w:rsid w:val="00F9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4EE0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HELENA</cp:lastModifiedBy>
  <cp:revision>3</cp:revision>
  <dcterms:created xsi:type="dcterms:W3CDTF">2024-11-06T14:09:00Z</dcterms:created>
  <dcterms:modified xsi:type="dcterms:W3CDTF">2024-11-06T14:14:00Z</dcterms:modified>
</cp:coreProperties>
</file>