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D38BA" w14:textId="031B9D3F" w:rsidR="000A0789" w:rsidRPr="00416374" w:rsidRDefault="00DF1A8B" w:rsidP="00CD3CA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prijedloga</w:t>
      </w:r>
      <w:r w:rsidR="000A0789" w:rsidRPr="00416374">
        <w:rPr>
          <w:rFonts w:ascii="Times New Roman" w:hAnsi="Times New Roman" w:cs="Times New Roman"/>
          <w:b/>
          <w:sz w:val="24"/>
          <w:szCs w:val="24"/>
        </w:rPr>
        <w:t xml:space="preserve"> financijskog plana – JAVNI INSTITUTI</w:t>
      </w:r>
    </w:p>
    <w:p w14:paraId="79B629C2" w14:textId="77777777" w:rsidR="000A0789" w:rsidRPr="00416374" w:rsidRDefault="000A0789" w:rsidP="00CD3CA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16374">
        <w:rPr>
          <w:rFonts w:ascii="Times New Roman" w:eastAsia="Times New Roman" w:hAnsi="Times New Roman" w:cs="Times New Roman"/>
          <w:b/>
          <w:sz w:val="24"/>
          <w:szCs w:val="24"/>
        </w:rPr>
        <w:t xml:space="preserve">Institut za društvena istraživanja u Zagrebu </w:t>
      </w:r>
      <w:r w:rsidRPr="00416374">
        <w:rPr>
          <w:rFonts w:ascii="Times New Roman" w:hAnsi="Times New Roman" w:cs="Times New Roman"/>
          <w:b/>
          <w:sz w:val="24"/>
          <w:szCs w:val="24"/>
        </w:rPr>
        <w:t>za razdoblje 2024.-2026.g.</w:t>
      </w:r>
    </w:p>
    <w:p w14:paraId="5C6CF0C9" w14:textId="77777777" w:rsidR="000A0789" w:rsidRPr="00416374" w:rsidRDefault="000A0789" w:rsidP="00CD3CA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A5E2BDB" w14:textId="77777777" w:rsidR="000A0789" w:rsidRPr="00416374" w:rsidRDefault="000A0789" w:rsidP="00CD3CA0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374">
        <w:rPr>
          <w:rFonts w:ascii="Times New Roman" w:hAnsi="Times New Roman" w:cs="Times New Roman"/>
          <w:b/>
          <w:sz w:val="24"/>
          <w:szCs w:val="24"/>
        </w:rPr>
        <w:t>Sažetak djelokruga rada proračunskog korisnika</w:t>
      </w:r>
    </w:p>
    <w:p w14:paraId="45CA6F54" w14:textId="5BA97065" w:rsidR="00CD0871" w:rsidRPr="00416374" w:rsidRDefault="00CD0871" w:rsidP="00CD3C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374">
        <w:rPr>
          <w:rFonts w:ascii="Times New Roman" w:eastAsia="Times New Roman" w:hAnsi="Times New Roman" w:cs="Times New Roman"/>
          <w:sz w:val="24"/>
          <w:szCs w:val="24"/>
        </w:rPr>
        <w:t>Institut za društvena istraživanja u Zagrebu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6374">
        <w:rPr>
          <w:rFonts w:ascii="Times New Roman" w:eastAsia="Times New Roman" w:hAnsi="Times New Roman" w:cs="Times New Roman"/>
          <w:sz w:val="24"/>
          <w:szCs w:val="24"/>
        </w:rPr>
        <w:t xml:space="preserve">javna je ustanova </w:t>
      </w:r>
      <w:r w:rsidR="00D36BC3">
        <w:rPr>
          <w:rFonts w:ascii="Times New Roman" w:eastAsia="Times New Roman" w:hAnsi="Times New Roman" w:cs="Times New Roman"/>
          <w:sz w:val="24"/>
          <w:szCs w:val="24"/>
        </w:rPr>
        <w:t>čiji je osnivač Republika Hrvatska</w:t>
      </w:r>
      <w:r w:rsidRPr="00416374">
        <w:rPr>
          <w:rFonts w:ascii="Times New Roman" w:eastAsia="Times New Roman" w:hAnsi="Times New Roman" w:cs="Times New Roman"/>
          <w:sz w:val="24"/>
          <w:szCs w:val="24"/>
        </w:rPr>
        <w:t xml:space="preserve"> i  najstarija hrvatska znanstvenoistraživačka ustanova u području društvenih znanosti. Institut se bavi koncipiranjem, razvojem, organiziranjem i provedbom znanstvenih istraživanja te znanstvenim osposobljavanjem i usavršavanjem znanstvenoistraživačkoga ljudskog potencijala. </w:t>
      </w:r>
    </w:p>
    <w:p w14:paraId="6063F78F" w14:textId="77777777" w:rsidR="00DA766D" w:rsidRPr="00416374" w:rsidRDefault="00DA766D" w:rsidP="00CD3C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1DC90E" w14:textId="0BE90422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Institut teži vrhunskoj znanstvenoj kvaliteti, nacionalnoj i međunarodnoj prepoznatljivosti i priznatosti svojih istraživanja, aktualnosti istraživačkih područja i tema, inovativnosti metodoloških pristupa i društvenom značaju istraživačkih poduhvata i interpretacija. Institut je izdavač časopisa </w:t>
      </w:r>
      <w:r w:rsidRPr="00416374">
        <w:rPr>
          <w:rFonts w:ascii="Times New Roman" w:eastAsia="Calibri" w:hAnsi="Times New Roman" w:cs="Times New Roman"/>
          <w:i/>
          <w:sz w:val="24"/>
          <w:szCs w:val="24"/>
        </w:rPr>
        <w:t>Sociologija i prostor</w:t>
      </w:r>
      <w:r w:rsidRPr="00416374">
        <w:rPr>
          <w:rFonts w:ascii="Times New Roman" w:eastAsia="Calibri" w:hAnsi="Times New Roman" w:cs="Times New Roman"/>
          <w:sz w:val="24"/>
          <w:szCs w:val="24"/>
        </w:rPr>
        <w:t>, koji je u 202</w:t>
      </w:r>
      <w:r w:rsidR="00D36BC3">
        <w:rPr>
          <w:rFonts w:ascii="Times New Roman" w:eastAsia="Calibri" w:hAnsi="Times New Roman" w:cs="Times New Roman"/>
          <w:sz w:val="24"/>
          <w:szCs w:val="24"/>
        </w:rPr>
        <w:t>1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. godini uvršten u 2. </w:t>
      </w:r>
      <w:proofErr w:type="spellStart"/>
      <w:r w:rsidRPr="00416374">
        <w:rPr>
          <w:rFonts w:ascii="Times New Roman" w:eastAsia="Calibri" w:hAnsi="Times New Roman" w:cs="Times New Roman"/>
          <w:sz w:val="24"/>
          <w:szCs w:val="24"/>
        </w:rPr>
        <w:t>kvartil</w:t>
      </w:r>
      <w:proofErr w:type="spellEnd"/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 (Q2) u bazi </w:t>
      </w:r>
      <w:proofErr w:type="spellStart"/>
      <w:r w:rsidRPr="00416374">
        <w:rPr>
          <w:rFonts w:ascii="Times New Roman" w:eastAsia="Calibri" w:hAnsi="Times New Roman" w:cs="Times New Roman"/>
          <w:sz w:val="24"/>
          <w:szCs w:val="24"/>
        </w:rPr>
        <w:t>Scopus</w:t>
      </w:r>
      <w:proofErr w:type="spellEnd"/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 za područje Urban </w:t>
      </w:r>
      <w:proofErr w:type="spellStart"/>
      <w:r w:rsidRPr="00416374">
        <w:rPr>
          <w:rFonts w:ascii="Times New Roman" w:eastAsia="Calibri" w:hAnsi="Times New Roman" w:cs="Times New Roman"/>
          <w:sz w:val="24"/>
          <w:szCs w:val="24"/>
        </w:rPr>
        <w:t>Studies</w:t>
      </w:r>
      <w:proofErr w:type="spellEnd"/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. Također, Institut je i izdavač biblioteka </w:t>
      </w:r>
      <w:r w:rsidRPr="00416374">
        <w:rPr>
          <w:rFonts w:ascii="Times New Roman" w:eastAsia="Calibri" w:hAnsi="Times New Roman" w:cs="Times New Roman"/>
          <w:i/>
          <w:sz w:val="24"/>
          <w:szCs w:val="24"/>
        </w:rPr>
        <w:t>Znanost i društvo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, te </w:t>
      </w:r>
      <w:r w:rsidRPr="00416374">
        <w:rPr>
          <w:rFonts w:ascii="Times New Roman" w:eastAsia="Calibri" w:hAnsi="Times New Roman" w:cs="Times New Roman"/>
          <w:i/>
          <w:sz w:val="24"/>
          <w:szCs w:val="24"/>
        </w:rPr>
        <w:t>Posebna izdanja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BF1C110" w14:textId="77777777" w:rsidR="00DA766D" w:rsidRPr="00416374" w:rsidRDefault="00DA766D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B6C1E7" w14:textId="08052B78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>Institut se sustavno, inovativno i interdisciplinarno bavi temeljnim, primijenjenim i razvojnim istraživanjima društva koja su spoznajno i društveno značajna. Znanstveno istraživački rad uključuje nacionalnu i međunarodnu suradnju i umreženost s drugim znanstvenicima, institucijama, organizacijama, objavljivanje nalaza/spoznaja znanstvenih istraživanja, diseminaciju znanja u akademskoj, stručnoj i široj javnosti te popularizaciju znanosti. Svojim djelovanjem Institut doprinosi razvoju hrvatskog i europskog društva stvaranjem znanstvenih i stručnih podloga za kreiranje javnih politika.</w:t>
      </w:r>
    </w:p>
    <w:p w14:paraId="49615B2F" w14:textId="77777777" w:rsidR="00DA766D" w:rsidRPr="00416374" w:rsidRDefault="00DA766D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398E04" w14:textId="091EB42D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>Aktivnosti Instituta za društvena istraživanja u Zagrebu u razdoblju do 202</w:t>
      </w:r>
      <w:r w:rsidR="00D36BC3">
        <w:rPr>
          <w:rFonts w:ascii="Times New Roman" w:eastAsia="Calibri" w:hAnsi="Times New Roman" w:cs="Times New Roman"/>
          <w:sz w:val="24"/>
          <w:szCs w:val="24"/>
        </w:rPr>
        <w:t>7</w:t>
      </w:r>
      <w:r w:rsidRPr="00416374">
        <w:rPr>
          <w:rFonts w:ascii="Times New Roman" w:eastAsia="Calibri" w:hAnsi="Times New Roman" w:cs="Times New Roman"/>
          <w:sz w:val="24"/>
          <w:szCs w:val="24"/>
        </w:rPr>
        <w:t>. bit će snažno</w:t>
      </w:r>
    </w:p>
    <w:p w14:paraId="640A0ACA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>usmjerene jačanju kvalitete i konkurentnosti hrvatske znanosti, gospodarstva i društva. Kvalitetom i kvantitetom znanstvenoistraživačkog rada te obavljanjem ostalih srodnih djelatnosti Institut će nastaviti pridonositi realizaciji nacionalnih i europskih ciljeva u području</w:t>
      </w:r>
    </w:p>
    <w:p w14:paraId="704CD154" w14:textId="2432FCB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znanosti njegujući interdisciplinarnost i </w:t>
      </w:r>
      <w:proofErr w:type="spellStart"/>
      <w:r w:rsidRPr="00416374">
        <w:rPr>
          <w:rFonts w:ascii="Times New Roman" w:eastAsia="Calibri" w:hAnsi="Times New Roman" w:cs="Times New Roman"/>
          <w:sz w:val="24"/>
          <w:szCs w:val="24"/>
        </w:rPr>
        <w:t>transdisciplinarnost</w:t>
      </w:r>
      <w:proofErr w:type="spellEnd"/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 u planiranju i provedbi istraživanja. Na tom putu Institut će nastaviti promovirati načela znanstvene djelatnosti, osobito slobodu i autonomiju stvaralaštva, etičnost znanstvenika, javnost rada, povezanost sa sustavom obrazovanja, međunarodna mjerila kvalitete, poticanje i uvažavanje specifičnosti </w:t>
      </w:r>
      <w:proofErr w:type="spellStart"/>
      <w:r w:rsidRPr="00416374">
        <w:rPr>
          <w:rFonts w:ascii="Times New Roman" w:eastAsia="Calibri" w:hAnsi="Times New Roman" w:cs="Times New Roman"/>
          <w:sz w:val="24"/>
          <w:szCs w:val="24"/>
        </w:rPr>
        <w:t>socio</w:t>
      </w:r>
      <w:proofErr w:type="spellEnd"/>
      <w:r w:rsidRPr="00416374">
        <w:rPr>
          <w:rFonts w:ascii="Times New Roman" w:eastAsia="Calibri" w:hAnsi="Times New Roman" w:cs="Times New Roman"/>
          <w:sz w:val="24"/>
          <w:szCs w:val="24"/>
        </w:rPr>
        <w:t>-kulturnog nacionalnog konteksta te zaštitu intelektualnog vlasništva. Promocija i zagovaranje ovih načela podrazumijeva maksimalnu moguću implementaciju ciljeva i zadataka znanstvenoistraživačke djelatnosti koji su definirani u dokumentima Republike Hrvatske i Europske Unije.</w:t>
      </w:r>
    </w:p>
    <w:p w14:paraId="5315B70B" w14:textId="77777777" w:rsidR="00DA766D" w:rsidRPr="00416374" w:rsidRDefault="00DA766D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077D93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374">
        <w:rPr>
          <w:rFonts w:ascii="Times New Roman" w:eastAsia="Times New Roman" w:hAnsi="Times New Roman" w:cs="Times New Roman"/>
          <w:sz w:val="24"/>
          <w:szCs w:val="24"/>
        </w:rPr>
        <w:t xml:space="preserve">Institut je iz državnog proračuna financiran sa cca 80 % ukupnih prihoda, dok ostale prihode ostvaruje kroz projekte financirane iz programa Europske unije, Europskog socijalnog fonda te projekata za različite naručitelje (jedinice državne i lokalne uprave i samouprave, organizacije civilnog društva, visokoobrazovne ustanove i slično). Po Nacionalnoj klasifikaciji djelatnosti </w:t>
      </w:r>
      <w:r w:rsidRPr="00416374">
        <w:rPr>
          <w:rFonts w:ascii="Times New Roman" w:eastAsia="Times New Roman" w:hAnsi="Times New Roman" w:cs="Times New Roman"/>
          <w:sz w:val="24"/>
          <w:szCs w:val="24"/>
        </w:rPr>
        <w:lastRenderedPageBreak/>
        <w:t>Državnog zavoda za statistiku djelatnost Instituta je: Istraživanje i eksperimentalni razvoj u društvenim i humanističkim znanostima, brojčana oznaka: 30, a šifra djelatnosti: 7220.</w:t>
      </w:r>
    </w:p>
    <w:p w14:paraId="10694633" w14:textId="4CAD9F44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Strateški plan znanstvenoistraživačke djelatnosti </w:t>
      </w:r>
      <w:r w:rsidRPr="00D36BC3">
        <w:rPr>
          <w:rFonts w:ascii="Times New Roman" w:eastAsia="Calibri" w:hAnsi="Times New Roman" w:cs="Times New Roman"/>
          <w:sz w:val="24"/>
          <w:szCs w:val="24"/>
        </w:rPr>
        <w:t>u naredne tri godine temelji se na postojećoj istraživačkoj orijentaciji Instituta, što podrazumijeva nastavak rada na istraživačkim područjima i temama kojima se Institut kontinuirano bavi, razvija ih i inovira.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C3C08B" w14:textId="77777777" w:rsidR="00DA766D" w:rsidRPr="00416374" w:rsidRDefault="00DA766D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B6C52E" w14:textId="0666EB0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U razdoblju od siječnja do prosinca 2022. godine u Institutu je zaposlena jedna asistentica i jedna stručna suradnica te je uspješno provedeno pet znanstvenih napredovanja na radna mjesta viših znanstvenih suradnika i znanstvenih savjetnika. </w:t>
      </w:r>
    </w:p>
    <w:p w14:paraId="35530D90" w14:textId="77777777" w:rsidR="00DA766D" w:rsidRPr="00416374" w:rsidRDefault="00DA766D" w:rsidP="00CD3CA0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BB74775" w14:textId="16BA6FA1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Djelatnost Instituta odvijat će se u narednom razdoblju kroz ostvarivanje četiri </w:t>
      </w:r>
      <w:r w:rsidR="00D36BC3">
        <w:rPr>
          <w:rFonts w:ascii="Times New Roman" w:eastAsia="Calibri" w:hAnsi="Times New Roman" w:cs="Times New Roman"/>
          <w:sz w:val="24"/>
          <w:szCs w:val="24"/>
        </w:rPr>
        <w:t xml:space="preserve">razvojna 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cilja: </w:t>
      </w:r>
    </w:p>
    <w:p w14:paraId="513D33DC" w14:textId="77777777" w:rsidR="00CD0871" w:rsidRPr="00416374" w:rsidRDefault="00CD0871" w:rsidP="00CD3CA0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>Jačanje inovativnosti, kvalitete i produktivnosti znanstveno-istraživačkog rada</w:t>
      </w:r>
    </w:p>
    <w:p w14:paraId="33FB6F64" w14:textId="77777777" w:rsidR="00CD0871" w:rsidRPr="00416374" w:rsidRDefault="00CD0871" w:rsidP="00CD3CA0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>Instituta</w:t>
      </w:r>
    </w:p>
    <w:p w14:paraId="4FED1B74" w14:textId="77777777" w:rsidR="00CD0871" w:rsidRPr="00416374" w:rsidRDefault="00CD0871" w:rsidP="00CD3CA0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>Jačanje nacionalne i međunarodne prepoznatljivosti djelovanja Instituta</w:t>
      </w:r>
    </w:p>
    <w:p w14:paraId="56431FF5" w14:textId="77777777" w:rsidR="00CD0871" w:rsidRPr="00416374" w:rsidRDefault="00CD0871" w:rsidP="00CD3CA0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>Jačanje suradnje i mobilnosti na nacionalnoj i međunarodnoj razini</w:t>
      </w:r>
    </w:p>
    <w:p w14:paraId="682DECA4" w14:textId="77777777" w:rsidR="00CD0871" w:rsidRPr="00416374" w:rsidRDefault="00CD0871" w:rsidP="00CD3CA0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Razvoj organizacijskih kapaciteta i ljudskih potencijala Instituta. </w:t>
      </w:r>
    </w:p>
    <w:p w14:paraId="44DC4C55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694347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sz w:val="24"/>
          <w:szCs w:val="24"/>
        </w:rPr>
        <w:t>U razdoblju od 2024.-2026. godine znanstvenoistraživački rad u Institutu realizirat će se kroz  četiri istraživačka centra.</w:t>
      </w:r>
    </w:p>
    <w:p w14:paraId="2B46D1F0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</w:pPr>
    </w:p>
    <w:p w14:paraId="56F0A12E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b/>
          <w:sz w:val="24"/>
          <w:szCs w:val="24"/>
        </w:rPr>
        <w:t>CIRO (Centar za istraživanje i razvoj obrazovanja)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 će se baviti interdisciplinarnim istraživanjima u području obrazovnih znanosti. Posebna pozornost posvetit će se promjenama u organizaciji procesa odgoja i obrazovanja uzrokovanim COVID-19 pandemijom. Također, istraživat će se profesionalni razvoj učitelja, uključujući i razvoj </w:t>
      </w:r>
      <w:proofErr w:type="spellStart"/>
      <w:r w:rsidRPr="00416374">
        <w:rPr>
          <w:rFonts w:ascii="Times New Roman" w:eastAsia="Calibri" w:hAnsi="Times New Roman" w:cs="Times New Roman"/>
          <w:sz w:val="24"/>
          <w:szCs w:val="24"/>
        </w:rPr>
        <w:t>socio</w:t>
      </w:r>
      <w:proofErr w:type="spellEnd"/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-emocionalnih kompetencija učitelja i ostalih odgojno-obrazovnih djelatnika u hrvatskim osnovnim i srednjim školama. Za učenike srednjih škola, radit će se na implementaciji predmeta </w:t>
      </w:r>
      <w:r w:rsidRPr="00416374">
        <w:rPr>
          <w:rFonts w:ascii="Times New Roman" w:eastAsia="Calibri" w:hAnsi="Times New Roman" w:cs="Times New Roman"/>
          <w:i/>
          <w:sz w:val="24"/>
          <w:szCs w:val="24"/>
        </w:rPr>
        <w:t>Škola i zajednica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, koji nudi inovativan pristup građanskom odgoju i obrazovanju i školi u cjelini. Nastavit će se istraživanja praćenja obrazovnih i profesionalnih aspiracija i putova učenika te analize prijelaza između pojedinih razina obrazovanja. Posebne tematske cjeline u okviru navedenih istraživačkih područja bit će: učenje, poučavanje i vrednovanje, socijalna i rodna dimenzija obrazovanja, perspektive različitih dionika odgojno-obrazovnog sustava: učenika, roditelja i učitelja, struktura i organizacija sustava odgoja i obrazovanje. </w:t>
      </w:r>
    </w:p>
    <w:p w14:paraId="68643601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78AB76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6374">
        <w:rPr>
          <w:rFonts w:ascii="Times New Roman" w:eastAsia="Calibri" w:hAnsi="Times New Roman" w:cs="Times New Roman"/>
          <w:b/>
          <w:sz w:val="24"/>
          <w:szCs w:val="24"/>
        </w:rPr>
        <w:t>CORI (Centar za omladinska i rodna istraživanja)</w:t>
      </w:r>
      <w:r w:rsidRPr="00416374">
        <w:rPr>
          <w:rFonts w:ascii="Times New Roman" w:eastAsia="Calibri" w:hAnsi="Times New Roman" w:cs="Times New Roman"/>
          <w:sz w:val="24"/>
          <w:szCs w:val="24"/>
        </w:rPr>
        <w:t xml:space="preserve"> će se baviti interdisciplinarnim kvantitativnim i kvalitativnim istraživanjima različitih dimenzija društvenog položaja i problema mladih te žena i muškaraca. Osobita pozornost biti će posvećena dinamici promjena i komparativnom praćenju istraživanih fenomena, a rezultati istraživanja će se nastojati koristiti za koncipiranje i inoviranje odgovarajućih javnih politika. U segmentu rodnih istraživanja (u okviru međunarodno financiranog projekta) istraživati će se (ne)jednakost u pravima, zaradama i mirovinama žena i muškaraca, rodna raspodjela poslova i roditeljske brige te rodno uvjetovano siromaštvo i načini njegova suzbijanja. Istraživanja mladih realizirati će se u okviru četiri projekta (UNICEF i Erasmus+), primarno s ciljem istraživanja problema implementacije i razvoja rada s mladima u Hrvatskoj (s krajnjim ciljem njegove profesionalizacije). U tom će se kontekstu ispitati problemi i potrebe mladih, mapirati problemi rada s mladima na lokalnoj </w:t>
      </w:r>
      <w:r w:rsidRPr="00416374">
        <w:rPr>
          <w:rFonts w:ascii="Times New Roman" w:eastAsia="Calibri" w:hAnsi="Times New Roman" w:cs="Times New Roman"/>
          <w:sz w:val="24"/>
          <w:szCs w:val="24"/>
        </w:rPr>
        <w:lastRenderedPageBreak/>
        <w:t>razini u Hrvatskoj i država-članica EU, istražiti mogućnosti i modaliteti širenja rada s mladima te provoditi visokoškolski program za obrazovanje stručnjaka za rad s mladima u Hrvatskoj. Druga velika tema uključuje istraživanje političke pismenosti mladih. Dosad su provedena tri vala terenskih istraživanja – 2010., 2015. i 2021. godine, dok se u periodima između empirijskih istraživanja provode analize, interpretiraju rezultati i objavljuju radovi koji tematiziraju građanske kompetencije mladih.</w:t>
      </w:r>
    </w:p>
    <w:p w14:paraId="1B56CBAD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D05E59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374">
        <w:rPr>
          <w:rFonts w:ascii="Times New Roman" w:eastAsia="Times New Roman" w:hAnsi="Times New Roman" w:cs="Times New Roman"/>
          <w:b/>
          <w:bCs/>
          <w:sz w:val="24"/>
          <w:szCs w:val="24"/>
        </w:rPr>
        <w:t>CIPIP (Centar za istraživanje prostora i politike)</w:t>
      </w:r>
      <w:r w:rsidRPr="00416374">
        <w:rPr>
          <w:rFonts w:ascii="Times New Roman" w:eastAsia="Times New Roman" w:hAnsi="Times New Roman" w:cs="Times New Roman"/>
          <w:sz w:val="24"/>
          <w:szCs w:val="24"/>
        </w:rPr>
        <w:t xml:space="preserve"> bavit će se istraživanjima društvenih promjena vezanih uz prostor i politiku. Poseban interes usmjerit će se na glavni grad Zagreb i veće gradske centre i istraživanje procesa urbane revitalizacije i transformacije u postsocijalističkom kontekstu, te procesa komercijalizacije i privatizacije prostora, te promjena u kvaliteti života i stanovanja, a u odnosu na EU standarde i koncept održivog razvoja. Istraživat će se utjecaj pandemije COVID-19 na turizam kroz primjer otoka Hvara i Brača. Istraživat će se i izolirani ljudi i zajednice u Sloveniji i Hrvatskoj na bilateralnom projektu Hrvatske zaklade za znanost (2022.-2025.) U centru se provodi i </w:t>
      </w:r>
      <w:proofErr w:type="spellStart"/>
      <w:r w:rsidRPr="00416374">
        <w:rPr>
          <w:rFonts w:ascii="Times New Roman" w:eastAsia="Times New Roman" w:hAnsi="Times New Roman" w:cs="Times New Roman"/>
          <w:sz w:val="24"/>
          <w:szCs w:val="24"/>
        </w:rPr>
        <w:t>uspostavni</w:t>
      </w:r>
      <w:proofErr w:type="spellEnd"/>
      <w:r w:rsidRPr="00416374">
        <w:rPr>
          <w:rFonts w:ascii="Times New Roman" w:eastAsia="Times New Roman" w:hAnsi="Times New Roman" w:cs="Times New Roman"/>
          <w:sz w:val="24"/>
          <w:szCs w:val="24"/>
        </w:rPr>
        <w:t xml:space="preserve"> istraživački projekt Hrvatske zaklade za znanost o integracijskim i dezintegracijskim tendencijama u Europskoj uniji (2020.-2025.).</w:t>
      </w:r>
    </w:p>
    <w:p w14:paraId="33C06682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294B89" w14:textId="77777777" w:rsidR="00CD0871" w:rsidRPr="00416374" w:rsidRDefault="00CD0871" w:rsidP="00CD3CA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>CIZRO</w:t>
      </w:r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(</w:t>
      </w:r>
      <w:proofErr w:type="spellStart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>Centar</w:t>
      </w:r>
      <w:proofErr w:type="spellEnd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 xml:space="preserve"> za </w:t>
      </w:r>
      <w:proofErr w:type="spellStart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>istraživanje</w:t>
      </w:r>
      <w:proofErr w:type="spellEnd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>znanosti</w:t>
      </w:r>
      <w:proofErr w:type="spellEnd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 xml:space="preserve">, </w:t>
      </w:r>
      <w:proofErr w:type="spellStart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>rada</w:t>
      </w:r>
      <w:proofErr w:type="spellEnd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>održivosti</w:t>
      </w:r>
      <w:proofErr w:type="spellEnd"/>
      <w:r w:rsidRPr="00416374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lang w:val="en-US"/>
        </w:rPr>
        <w:t xml:space="preserve">)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provodi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interdisciplinarna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istraživanja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različitih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aspekata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društvene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otpornosti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transformacije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održivosti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kroz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nekoliko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ključnih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istraživačkih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tema</w:t>
      </w:r>
      <w:proofErr w:type="spellEnd"/>
      <w:r w:rsidRPr="00416374">
        <w:rPr>
          <w:rFonts w:ascii="Times New Roman" w:eastAsia="Calibri" w:hAnsi="Times New Roman" w:cs="Times New Roman"/>
          <w:color w:val="333333"/>
          <w:sz w:val="24"/>
          <w:szCs w:val="24"/>
          <w:lang w:val="en-US"/>
        </w:rPr>
        <w:t>:</w:t>
      </w:r>
      <w:r w:rsidRPr="004163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uloga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društvena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odgovornost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znanosti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tehnologije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društvenim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krizama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;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promjene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dinamika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odnosa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znanosti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javnosti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politike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;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znanost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kao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rad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profesija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društvenom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kontekstu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;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promjene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tržištu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rada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praksi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društvenom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učinku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značenju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rada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;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nejednakosti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proizlaze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iz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promjena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njihov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utjecaj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kvalitetu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uvjete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rada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;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novi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oblici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organizacije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rada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radnika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/ca;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potencijali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transformacije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k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ekonomiji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zelenih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radnih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mjesta</w:t>
      </w:r>
      <w:proofErr w:type="spellEnd"/>
      <w:r w:rsidRPr="004163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društvena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implementacija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održivih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tehnologija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procesa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poput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obnovljivih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izvora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energije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proizvodnje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hrane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za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vlastite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potrebe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alternativne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ekonomije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s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naglaskom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pitanja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društvenih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nejednakosti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pravednosti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  <w:r w:rsidRPr="004163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Centar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ime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Instituta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kontinuirano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provodi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međunarodni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znanstveno-istraživački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projekt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International Social Survey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Programme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(ISSP),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projekt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kojem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surađuje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mreža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institucija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iz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različitih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zemalja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anketnim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istraživanjima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različitih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aspekata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Institut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provodi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ISSP od 2005.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godine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kao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predstavnik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Hrvatske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ovom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najstarijem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međunarodnom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projektu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području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društvenih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znanosti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svijetu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 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narednom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razdoblju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obrađivat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će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dogovorene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teme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/moduli, koji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će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omogućiti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komparaciju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među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državama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sudjeluju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istraživanju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ukupno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oko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45), a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kod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nekih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tema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komparaciju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istraživanjima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provedenim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prije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10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godina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Radi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se o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modulima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digitalno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društvo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(2024),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radne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orijentacije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(2025)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uloga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države</w:t>
      </w:r>
      <w:proofErr w:type="spellEnd"/>
      <w:r w:rsidRPr="00416374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(2026).</w:t>
      </w:r>
    </w:p>
    <w:p w14:paraId="3FE982A7" w14:textId="648001B4" w:rsidR="000A0789" w:rsidRPr="00D36BC3" w:rsidRDefault="00DA766D" w:rsidP="00CD3C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16374">
        <w:rPr>
          <w:rFonts w:ascii="Times New Roman" w:hAnsi="Times New Roman" w:cs="Times New Roman"/>
          <w:sz w:val="24"/>
          <w:szCs w:val="24"/>
        </w:rPr>
        <w:br w:type="page"/>
      </w:r>
    </w:p>
    <w:p w14:paraId="5E965B41" w14:textId="630B7BB6" w:rsidR="000A0789" w:rsidRPr="00F57E66" w:rsidRDefault="00F11BE9" w:rsidP="00F11BE9">
      <w:pPr>
        <w:pBdr>
          <w:top w:val="dotted" w:sz="4" w:space="0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PROGRAMSKO FINANCIRANJE</w:t>
      </w:r>
      <w:r w:rsidR="000A0789" w:rsidRPr="00F57E66">
        <w:rPr>
          <w:rFonts w:ascii="Times New Roman" w:hAnsi="Times New Roman" w:cs="Times New Roman"/>
          <w:b/>
          <w:sz w:val="24"/>
          <w:szCs w:val="24"/>
        </w:rPr>
        <w:t xml:space="preserve"> JAVNIH INSTITUTA </w:t>
      </w:r>
    </w:p>
    <w:p w14:paraId="4937AD0C" w14:textId="77777777" w:rsidR="000A0789" w:rsidRPr="00F57E66" w:rsidRDefault="000A0789" w:rsidP="00CD3CA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77F68D6F" w14:textId="68A705C6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Zakon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094583">
        <w:rPr>
          <w:rFonts w:ascii="Times New Roman" w:hAnsi="Times New Roman"/>
          <w:sz w:val="24"/>
          <w:szCs w:val="24"/>
        </w:rPr>
        <w:t>visokom</w:t>
      </w:r>
      <w:proofErr w:type="spellEnd"/>
      <w:r w:rsidRPr="000945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4583">
        <w:rPr>
          <w:rFonts w:ascii="Times New Roman" w:hAnsi="Times New Roman"/>
          <w:sz w:val="24"/>
          <w:szCs w:val="24"/>
        </w:rPr>
        <w:t>obrazovanju</w:t>
      </w:r>
      <w:proofErr w:type="spellEnd"/>
      <w:r w:rsidRPr="0009458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znanstvenoj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djelatnosti</w:t>
      </w:r>
      <w:proofErr w:type="spellEnd"/>
      <w:r w:rsidR="00542A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42A7D">
        <w:rPr>
          <w:rFonts w:ascii="Times New Roman" w:hAnsi="Times New Roman"/>
          <w:sz w:val="24"/>
          <w:szCs w:val="24"/>
        </w:rPr>
        <w:t>čl</w:t>
      </w:r>
      <w:proofErr w:type="spellEnd"/>
      <w:r w:rsidR="00542A7D">
        <w:rPr>
          <w:rFonts w:ascii="Times New Roman" w:hAnsi="Times New Roman"/>
          <w:sz w:val="24"/>
          <w:szCs w:val="24"/>
        </w:rPr>
        <w:t>. 31</w:t>
      </w:r>
      <w:r w:rsidR="00CE13D9">
        <w:rPr>
          <w:rFonts w:ascii="Times New Roman" w:hAnsi="Times New Roman"/>
          <w:sz w:val="24"/>
          <w:szCs w:val="24"/>
        </w:rPr>
        <w:t>.</w:t>
      </w:r>
    </w:p>
    <w:p w14:paraId="489CC0A1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Pravilnik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F57E66">
        <w:rPr>
          <w:rFonts w:ascii="Times New Roman" w:hAnsi="Times New Roman"/>
          <w:sz w:val="24"/>
          <w:szCs w:val="24"/>
        </w:rPr>
        <w:t>uvjetima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F57E66">
        <w:rPr>
          <w:rFonts w:ascii="Times New Roman" w:hAnsi="Times New Roman"/>
          <w:sz w:val="24"/>
          <w:szCs w:val="24"/>
        </w:rPr>
        <w:t>izbor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57E66">
        <w:rPr>
          <w:rFonts w:ascii="Times New Roman" w:hAnsi="Times New Roman"/>
          <w:sz w:val="24"/>
          <w:szCs w:val="24"/>
        </w:rPr>
        <w:t>znanstvena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zvanja</w:t>
      </w:r>
      <w:proofErr w:type="spellEnd"/>
    </w:p>
    <w:p w14:paraId="4096AA25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Zakon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F57E66">
        <w:rPr>
          <w:rFonts w:ascii="Times New Roman" w:hAnsi="Times New Roman"/>
          <w:sz w:val="24"/>
          <w:szCs w:val="24"/>
        </w:rPr>
        <w:t>ustanovama</w:t>
      </w:r>
      <w:proofErr w:type="spellEnd"/>
    </w:p>
    <w:p w14:paraId="6F0A161F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Zakon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F57E66">
        <w:rPr>
          <w:rFonts w:ascii="Times New Roman" w:hAnsi="Times New Roman"/>
          <w:sz w:val="24"/>
          <w:szCs w:val="24"/>
        </w:rPr>
        <w:t>plaćama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57E66">
        <w:rPr>
          <w:rFonts w:ascii="Times New Roman" w:hAnsi="Times New Roman"/>
          <w:sz w:val="24"/>
          <w:szCs w:val="24"/>
        </w:rPr>
        <w:t>javnim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službama</w:t>
      </w:r>
      <w:proofErr w:type="spellEnd"/>
    </w:p>
    <w:p w14:paraId="70FF8471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Uredba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F57E66">
        <w:rPr>
          <w:rFonts w:ascii="Times New Roman" w:hAnsi="Times New Roman"/>
          <w:sz w:val="24"/>
          <w:szCs w:val="24"/>
        </w:rPr>
        <w:t>nazivima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radnih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mjesta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i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koeficijentima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složenosti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poslova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57E66">
        <w:rPr>
          <w:rFonts w:ascii="Times New Roman" w:hAnsi="Times New Roman"/>
          <w:sz w:val="24"/>
          <w:szCs w:val="24"/>
        </w:rPr>
        <w:t>javnim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službama</w:t>
      </w:r>
      <w:proofErr w:type="spellEnd"/>
    </w:p>
    <w:p w14:paraId="1588D385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Temeljni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kolektivni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ugovor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F57E66">
        <w:rPr>
          <w:rFonts w:ascii="Times New Roman" w:hAnsi="Times New Roman"/>
          <w:sz w:val="24"/>
          <w:szCs w:val="24"/>
        </w:rPr>
        <w:t>službenike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i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namještenike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57E66">
        <w:rPr>
          <w:rFonts w:ascii="Times New Roman" w:hAnsi="Times New Roman"/>
          <w:sz w:val="24"/>
          <w:szCs w:val="24"/>
        </w:rPr>
        <w:t>javnim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službama</w:t>
      </w:r>
      <w:proofErr w:type="spellEnd"/>
    </w:p>
    <w:p w14:paraId="3D276185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Nacionalni</w:t>
      </w:r>
      <w:proofErr w:type="spellEnd"/>
      <w:r>
        <w:rPr>
          <w:rFonts w:ascii="Times New Roman" w:hAnsi="Times New Roman"/>
          <w:sz w:val="24"/>
          <w:szCs w:val="24"/>
        </w:rPr>
        <w:t xml:space="preserve"> p</w:t>
      </w:r>
      <w:r w:rsidRPr="00F57E66">
        <w:rPr>
          <w:rFonts w:ascii="Times New Roman" w:hAnsi="Times New Roman"/>
          <w:sz w:val="24"/>
          <w:szCs w:val="24"/>
        </w:rPr>
        <w:t xml:space="preserve">lan </w:t>
      </w:r>
      <w:proofErr w:type="spellStart"/>
      <w:r w:rsidRPr="00F57E66">
        <w:rPr>
          <w:rFonts w:ascii="Times New Roman" w:hAnsi="Times New Roman"/>
          <w:sz w:val="24"/>
          <w:szCs w:val="24"/>
        </w:rPr>
        <w:t>oporavka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i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otpornosti</w:t>
      </w:r>
      <w:proofErr w:type="spellEnd"/>
    </w:p>
    <w:p w14:paraId="2AD4FABE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bookmarkStart w:id="0" w:name="_Hlk146711842"/>
      <w:proofErr w:type="spellStart"/>
      <w:r w:rsidRPr="00F57E66">
        <w:rPr>
          <w:rFonts w:ascii="Times New Roman" w:hAnsi="Times New Roman"/>
          <w:sz w:val="24"/>
          <w:szCs w:val="24"/>
        </w:rPr>
        <w:t>Statut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Instituta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društvena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istraživanja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Zagrebu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47A4132E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Strategija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razvoja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Instituta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F57E66">
        <w:rPr>
          <w:rFonts w:ascii="Times New Roman" w:hAnsi="Times New Roman"/>
          <w:sz w:val="24"/>
          <w:szCs w:val="24"/>
        </w:rPr>
        <w:t>razdoblje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od 2019. do 2028. </w:t>
      </w:r>
      <w:proofErr w:type="spellStart"/>
      <w:r w:rsidRPr="00F57E66">
        <w:rPr>
          <w:rFonts w:ascii="Times New Roman" w:hAnsi="Times New Roman"/>
          <w:sz w:val="24"/>
          <w:szCs w:val="24"/>
        </w:rPr>
        <w:t>godine</w:t>
      </w:r>
      <w:proofErr w:type="spellEnd"/>
    </w:p>
    <w:p w14:paraId="7C80A279" w14:textId="77777777" w:rsidR="000A0789" w:rsidRPr="00F57E66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Pravilnik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F57E66">
        <w:rPr>
          <w:rFonts w:ascii="Times New Roman" w:hAnsi="Times New Roman"/>
          <w:sz w:val="24"/>
          <w:szCs w:val="24"/>
        </w:rPr>
        <w:t>unutarnjem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ustroju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Instituta</w:t>
      </w:r>
      <w:proofErr w:type="spellEnd"/>
    </w:p>
    <w:p w14:paraId="6DE60932" w14:textId="5C3EAA5E" w:rsidR="000A0789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Pravilnik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F57E66">
        <w:rPr>
          <w:rFonts w:ascii="Times New Roman" w:hAnsi="Times New Roman"/>
          <w:sz w:val="24"/>
          <w:szCs w:val="24"/>
        </w:rPr>
        <w:t>unutarnjem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ustroju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radnih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mjesta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i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položaja</w:t>
      </w:r>
      <w:proofErr w:type="spellEnd"/>
    </w:p>
    <w:p w14:paraId="6B1AC910" w14:textId="508D1CFF" w:rsidR="0011476D" w:rsidRDefault="0011476D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13D9">
        <w:rPr>
          <w:rFonts w:ascii="Times New Roman" w:hAnsi="Times New Roman"/>
          <w:sz w:val="24"/>
          <w:szCs w:val="24"/>
        </w:rPr>
        <w:t>Uredba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CE13D9">
        <w:rPr>
          <w:rFonts w:ascii="Times New Roman" w:hAnsi="Times New Roman"/>
          <w:sz w:val="24"/>
          <w:szCs w:val="24"/>
        </w:rPr>
        <w:t>programskom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13D9">
        <w:rPr>
          <w:rFonts w:ascii="Times New Roman" w:hAnsi="Times New Roman"/>
          <w:sz w:val="24"/>
          <w:szCs w:val="24"/>
        </w:rPr>
        <w:t>financiranju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13D9">
        <w:rPr>
          <w:rFonts w:ascii="Times New Roman" w:hAnsi="Times New Roman"/>
          <w:sz w:val="24"/>
          <w:szCs w:val="24"/>
        </w:rPr>
        <w:t>javnih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13D9">
        <w:rPr>
          <w:rFonts w:ascii="Times New Roman" w:hAnsi="Times New Roman"/>
          <w:sz w:val="24"/>
          <w:szCs w:val="24"/>
        </w:rPr>
        <w:t>visokih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13D9">
        <w:rPr>
          <w:rFonts w:ascii="Times New Roman" w:hAnsi="Times New Roman"/>
          <w:sz w:val="24"/>
          <w:szCs w:val="24"/>
        </w:rPr>
        <w:t>učilišta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13D9">
        <w:rPr>
          <w:rFonts w:ascii="Times New Roman" w:hAnsi="Times New Roman"/>
          <w:sz w:val="24"/>
          <w:szCs w:val="24"/>
        </w:rPr>
        <w:t>i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13D9">
        <w:rPr>
          <w:rFonts w:ascii="Times New Roman" w:hAnsi="Times New Roman"/>
          <w:sz w:val="24"/>
          <w:szCs w:val="24"/>
        </w:rPr>
        <w:t>javnih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13D9">
        <w:rPr>
          <w:rFonts w:ascii="Times New Roman" w:hAnsi="Times New Roman"/>
          <w:sz w:val="24"/>
          <w:szCs w:val="24"/>
        </w:rPr>
        <w:t>znanstvenih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13D9">
        <w:rPr>
          <w:rFonts w:ascii="Times New Roman" w:hAnsi="Times New Roman"/>
          <w:sz w:val="24"/>
          <w:szCs w:val="24"/>
        </w:rPr>
        <w:t>instituta</w:t>
      </w:r>
      <w:proofErr w:type="spellEnd"/>
      <w:r w:rsidRPr="00CE13D9">
        <w:rPr>
          <w:rFonts w:ascii="Times New Roman" w:hAnsi="Times New Roman"/>
          <w:sz w:val="24"/>
          <w:szCs w:val="24"/>
        </w:rPr>
        <w:t xml:space="preserve"> u RH</w:t>
      </w:r>
    </w:p>
    <w:p w14:paraId="509E43F8" w14:textId="168424D3" w:rsidR="007B1873" w:rsidRDefault="007B1873" w:rsidP="007B1873">
      <w:pPr>
        <w:pStyle w:val="Normal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6573CE8" w14:textId="77777777" w:rsidR="007B1873" w:rsidRPr="00D36BC3" w:rsidRDefault="007B1873" w:rsidP="007B1873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36BC3">
        <w:rPr>
          <w:rFonts w:ascii="Times New Roman" w:hAnsi="Times New Roman"/>
          <w:sz w:val="24"/>
          <w:szCs w:val="24"/>
        </w:rPr>
        <w:t xml:space="preserve">Zakon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visokom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obrazovanju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znanstvenoj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djelatnosti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članak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97. </w:t>
      </w:r>
    </w:p>
    <w:p w14:paraId="1BC85A3D" w14:textId="77777777" w:rsidR="007B1873" w:rsidRPr="00D36BC3" w:rsidRDefault="007B1873" w:rsidP="007B187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6BC3">
        <w:rPr>
          <w:rFonts w:ascii="Times New Roman" w:hAnsi="Times New Roman"/>
          <w:sz w:val="24"/>
          <w:szCs w:val="24"/>
        </w:rPr>
        <w:t>Zakon</w:t>
      </w:r>
      <w:proofErr w:type="spellEnd"/>
      <w:r w:rsidRPr="00D36BC3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D36BC3">
        <w:rPr>
          <w:rFonts w:ascii="Times New Roman" w:hAnsi="Times New Roman"/>
          <w:sz w:val="24"/>
          <w:szCs w:val="24"/>
        </w:rPr>
        <w:t>ustanovama</w:t>
      </w:r>
      <w:proofErr w:type="spellEnd"/>
      <w:r w:rsidRPr="00D36BC3">
        <w:rPr>
          <w:rFonts w:ascii="Times New Roman" w:hAnsi="Times New Roman"/>
          <w:sz w:val="24"/>
          <w:szCs w:val="24"/>
        </w:rPr>
        <w:t xml:space="preserve"> </w:t>
      </w:r>
    </w:p>
    <w:p w14:paraId="703A9459" w14:textId="77777777" w:rsidR="007B1873" w:rsidRPr="00D36BC3" w:rsidRDefault="007B1873" w:rsidP="007B1873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Nacionalni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plan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oporavka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otpornosti</w:t>
      </w:r>
      <w:proofErr w:type="spellEnd"/>
    </w:p>
    <w:p w14:paraId="125A1165" w14:textId="77777777" w:rsidR="007B1873" w:rsidRPr="00D36BC3" w:rsidRDefault="007B1873" w:rsidP="007B1873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Statut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Instituta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društvena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istraživanja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D36BC3">
        <w:rPr>
          <w:rFonts w:ascii="Times New Roman" w:hAnsi="Times New Roman" w:cs="Times New Roman"/>
          <w:sz w:val="24"/>
          <w:szCs w:val="24"/>
          <w:lang w:val="en-US"/>
        </w:rPr>
        <w:t>Zagrebu</w:t>
      </w:r>
      <w:proofErr w:type="spellEnd"/>
      <w:r w:rsidRPr="00D36B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45A1B4C" w14:textId="77777777" w:rsidR="007B1873" w:rsidRPr="00D36BC3" w:rsidRDefault="007B1873" w:rsidP="007B187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6BC3">
        <w:rPr>
          <w:rFonts w:ascii="Times New Roman" w:hAnsi="Times New Roman"/>
          <w:sz w:val="24"/>
          <w:szCs w:val="24"/>
        </w:rPr>
        <w:t>Ugovor</w:t>
      </w:r>
      <w:proofErr w:type="spellEnd"/>
      <w:r w:rsidRPr="00D36BC3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D36BC3">
        <w:rPr>
          <w:rFonts w:ascii="Times New Roman" w:hAnsi="Times New Roman"/>
          <w:sz w:val="24"/>
          <w:szCs w:val="24"/>
        </w:rPr>
        <w:t>programskom</w:t>
      </w:r>
      <w:proofErr w:type="spellEnd"/>
      <w:r w:rsidRPr="00D36B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BC3">
        <w:rPr>
          <w:rFonts w:ascii="Times New Roman" w:hAnsi="Times New Roman"/>
          <w:sz w:val="24"/>
          <w:szCs w:val="24"/>
        </w:rPr>
        <w:t>financiranju</w:t>
      </w:r>
      <w:proofErr w:type="spellEnd"/>
      <w:r w:rsidRPr="00D36B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BC3">
        <w:rPr>
          <w:rFonts w:ascii="Times New Roman" w:hAnsi="Times New Roman"/>
          <w:sz w:val="24"/>
          <w:szCs w:val="24"/>
        </w:rPr>
        <w:t>javnih</w:t>
      </w:r>
      <w:proofErr w:type="spellEnd"/>
      <w:r w:rsidRPr="00D36B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BC3">
        <w:rPr>
          <w:rFonts w:ascii="Times New Roman" w:hAnsi="Times New Roman"/>
          <w:sz w:val="24"/>
          <w:szCs w:val="24"/>
        </w:rPr>
        <w:t>znanstvenih</w:t>
      </w:r>
      <w:proofErr w:type="spellEnd"/>
      <w:r w:rsidRPr="00D36B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BC3">
        <w:rPr>
          <w:rFonts w:ascii="Times New Roman" w:hAnsi="Times New Roman"/>
          <w:sz w:val="24"/>
          <w:szCs w:val="24"/>
        </w:rPr>
        <w:t>instituta</w:t>
      </w:r>
      <w:proofErr w:type="spellEnd"/>
    </w:p>
    <w:p w14:paraId="2FD5F0A7" w14:textId="77777777" w:rsidR="007B1873" w:rsidRPr="00D36BC3" w:rsidRDefault="007B1873" w:rsidP="007B187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6BC3">
        <w:rPr>
          <w:rFonts w:ascii="Times New Roman" w:hAnsi="Times New Roman"/>
          <w:sz w:val="24"/>
          <w:szCs w:val="24"/>
        </w:rPr>
        <w:t>Strategija</w:t>
      </w:r>
      <w:proofErr w:type="spellEnd"/>
      <w:r w:rsidRPr="00D36BC3">
        <w:rPr>
          <w:rFonts w:ascii="Times New Roman" w:hAnsi="Times New Roman"/>
          <w:sz w:val="24"/>
          <w:szCs w:val="24"/>
        </w:rPr>
        <w:t xml:space="preserve"> </w:t>
      </w:r>
      <w:r w:rsidRPr="00D36BC3">
        <w:rPr>
          <w:rFonts w:ascii="Times New Roman" w:hAnsi="Times New Roman"/>
          <w:sz w:val="24"/>
          <w:szCs w:val="24"/>
          <w:lang w:val="hr-HR"/>
        </w:rPr>
        <w:t>Instituta za društvena istraživanja u Zagrebu za razdoblje 2019.-2028.</w:t>
      </w:r>
    </w:p>
    <w:p w14:paraId="3D7DF96E" w14:textId="77777777" w:rsidR="007B1873" w:rsidRPr="00D36BC3" w:rsidRDefault="007B1873" w:rsidP="007B1873">
      <w:pPr>
        <w:pStyle w:val="NormalWeb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D36BC3">
        <w:rPr>
          <w:rFonts w:ascii="Times New Roman" w:hAnsi="Times New Roman"/>
          <w:sz w:val="24"/>
          <w:szCs w:val="24"/>
          <w:lang w:val="hr-HR"/>
        </w:rPr>
        <w:t xml:space="preserve">Uredba o programskom financiranju javnih visokih učilišta i javnih znanstvenih instituta u RH </w:t>
      </w:r>
    </w:p>
    <w:p w14:paraId="66857B68" w14:textId="77777777" w:rsidR="007B1873" w:rsidRPr="00CE13D9" w:rsidRDefault="007B1873" w:rsidP="007B1873">
      <w:pPr>
        <w:pStyle w:val="Normal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CFBAC24" w14:textId="7F3B7D80" w:rsidR="000A0789" w:rsidRPr="00CD3CA0" w:rsidRDefault="000A0789" w:rsidP="00CD3CA0">
      <w:pPr>
        <w:spacing w:line="276" w:lineRule="auto"/>
        <w:jc w:val="both"/>
        <w:rPr>
          <w:rFonts w:ascii="Times New Roman" w:hAnsi="Times New Roman" w:cs="Times New Roman"/>
          <w:i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94"/>
        <w:gridCol w:w="1535"/>
        <w:gridCol w:w="1560"/>
        <w:gridCol w:w="1560"/>
        <w:gridCol w:w="1560"/>
        <w:gridCol w:w="1342"/>
      </w:tblGrid>
      <w:tr w:rsidR="00F11BE9" w:rsidRPr="00495264" w14:paraId="3D775A23" w14:textId="77777777" w:rsidTr="00495264">
        <w:trPr>
          <w:trHeight w:val="536"/>
        </w:trPr>
        <w:tc>
          <w:tcPr>
            <w:tcW w:w="1598" w:type="dxa"/>
            <w:shd w:val="clear" w:color="auto" w:fill="D0CECE" w:themeFill="background2" w:themeFillShade="E6"/>
          </w:tcPr>
          <w:p w14:paraId="4E07A6FC" w14:textId="77777777" w:rsidR="000A0789" w:rsidRPr="00495264" w:rsidRDefault="000A0789" w:rsidP="00CD3CA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169DFD72" w14:textId="77777777" w:rsidR="000A0789" w:rsidRPr="00495264" w:rsidRDefault="000A0789" w:rsidP="00CD3CA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shd w:val="clear" w:color="auto" w:fill="D0CECE" w:themeFill="background2" w:themeFillShade="E6"/>
            <w:vAlign w:val="center"/>
          </w:tcPr>
          <w:p w14:paraId="4610C778" w14:textId="77777777" w:rsidR="000A0789" w:rsidRPr="00495264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Izvršenje 2022.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0CC12442" w14:textId="5DC068DB" w:rsidR="000A0789" w:rsidRPr="00495264" w:rsidRDefault="0049526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2023</w:t>
            </w:r>
            <w:r w:rsidR="000A0789"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6898AD66" w14:textId="1043E4E2" w:rsidR="000A0789" w:rsidRPr="00495264" w:rsidRDefault="0049526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2024</w:t>
            </w:r>
            <w:r w:rsidR="000A0789"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44410F73" w14:textId="7043F4A3" w:rsidR="000A0789" w:rsidRPr="00495264" w:rsidRDefault="0049526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2025</w:t>
            </w:r>
            <w:r w:rsidR="000A0789"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5" w:type="dxa"/>
            <w:shd w:val="clear" w:color="auto" w:fill="D0CECE" w:themeFill="background2" w:themeFillShade="E6"/>
            <w:vAlign w:val="center"/>
          </w:tcPr>
          <w:p w14:paraId="0EFA901D" w14:textId="6283E2DA" w:rsidR="000A0789" w:rsidRPr="00495264" w:rsidRDefault="0049526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Plan 2026.</w:t>
            </w:r>
            <w:r w:rsidR="000A0789" w:rsidRPr="0049526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0789" w:rsidRPr="00495264" w14:paraId="3EA7773A" w14:textId="77777777" w:rsidTr="00495264">
        <w:trPr>
          <w:trHeight w:val="1323"/>
        </w:trPr>
        <w:tc>
          <w:tcPr>
            <w:tcW w:w="1598" w:type="dxa"/>
          </w:tcPr>
          <w:p w14:paraId="26C9D3FF" w14:textId="5C8F96A9" w:rsidR="000A0789" w:rsidRPr="00495264" w:rsidRDefault="00232C07" w:rsidP="00CD3CA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32C07">
              <w:rPr>
                <w:rFonts w:ascii="Times New Roman" w:hAnsi="Times New Roman" w:cs="Times New Roman"/>
              </w:rPr>
              <w:t>A622150</w:t>
            </w:r>
            <w:r w:rsidR="000A0789" w:rsidRPr="00495264">
              <w:rPr>
                <w:rFonts w:ascii="Times New Roman" w:hAnsi="Times New Roman" w:cs="Times New Roman"/>
              </w:rPr>
              <w:t xml:space="preserve"> </w:t>
            </w:r>
            <w:r w:rsidR="00F11BE9" w:rsidRPr="00F11BE9">
              <w:rPr>
                <w:rFonts w:ascii="Times New Roman" w:hAnsi="Times New Roman" w:cs="Times New Roman"/>
              </w:rPr>
              <w:t>PROGRAMSKO FINANCIRANJE</w:t>
            </w:r>
            <w:r w:rsidR="00F11BE9" w:rsidRPr="00F57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0789" w:rsidRPr="00495264">
              <w:rPr>
                <w:rFonts w:ascii="Times New Roman" w:hAnsi="Times New Roman" w:cs="Times New Roman"/>
              </w:rPr>
              <w:t>JAVNIH INSTITUTA</w:t>
            </w:r>
          </w:p>
        </w:tc>
        <w:tc>
          <w:tcPr>
            <w:tcW w:w="1576" w:type="dxa"/>
          </w:tcPr>
          <w:p w14:paraId="27D6AAF7" w14:textId="5955C567" w:rsidR="000A0789" w:rsidRPr="00495264" w:rsidRDefault="00495264" w:rsidP="00F11BE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1.</w:t>
            </w:r>
            <w:r w:rsidR="00F11BE9">
              <w:rPr>
                <w:rFonts w:ascii="Times New Roman" w:hAnsi="Times New Roman" w:cs="Times New Roman"/>
              </w:rPr>
              <w:t>216.796</w:t>
            </w:r>
            <w:r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604" w:type="dxa"/>
          </w:tcPr>
          <w:p w14:paraId="71698A96" w14:textId="185F8B63" w:rsidR="000A0789" w:rsidRPr="00495264" w:rsidRDefault="00495264" w:rsidP="00F11BE9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1.</w:t>
            </w:r>
            <w:r w:rsidR="00F11BE9">
              <w:rPr>
                <w:rFonts w:ascii="Times New Roman" w:hAnsi="Times New Roman" w:cs="Times New Roman"/>
              </w:rPr>
              <w:t>343.883</w:t>
            </w:r>
            <w:r w:rsidRPr="00495264">
              <w:rPr>
                <w:rFonts w:ascii="Times New Roman" w:hAnsi="Times New Roman" w:cs="Times New Roman"/>
              </w:rPr>
              <w:t xml:space="preserve"> € </w:t>
            </w:r>
          </w:p>
        </w:tc>
        <w:tc>
          <w:tcPr>
            <w:tcW w:w="1604" w:type="dxa"/>
          </w:tcPr>
          <w:p w14:paraId="78F699EB" w14:textId="7D63201F" w:rsidR="000A0789" w:rsidRPr="00495264" w:rsidRDefault="00495264" w:rsidP="000A6B0B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1.</w:t>
            </w:r>
            <w:r w:rsidR="000A6B0B">
              <w:rPr>
                <w:rFonts w:ascii="Times New Roman" w:hAnsi="Times New Roman" w:cs="Times New Roman"/>
              </w:rPr>
              <w:t>630.000</w:t>
            </w:r>
            <w:r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604" w:type="dxa"/>
          </w:tcPr>
          <w:p w14:paraId="277BCF46" w14:textId="61E1E491" w:rsidR="000A0789" w:rsidRPr="00495264" w:rsidRDefault="00495264" w:rsidP="00232C07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1.</w:t>
            </w:r>
            <w:r w:rsidR="00232C07">
              <w:rPr>
                <w:rFonts w:ascii="Times New Roman" w:hAnsi="Times New Roman" w:cs="Times New Roman"/>
              </w:rPr>
              <w:t>606.993</w:t>
            </w:r>
            <w:r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365" w:type="dxa"/>
          </w:tcPr>
          <w:p w14:paraId="53CB707E" w14:textId="01811A26" w:rsidR="000A0789" w:rsidRPr="00495264" w:rsidRDefault="00F11BE9" w:rsidP="00232C0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1.</w:t>
            </w:r>
            <w:r w:rsidR="00232C07">
              <w:rPr>
                <w:rFonts w:ascii="Times New Roman" w:hAnsi="Times New Roman" w:cs="Times New Roman"/>
              </w:rPr>
              <w:t>613.572</w:t>
            </w:r>
            <w:r w:rsidRPr="00495264">
              <w:rPr>
                <w:rFonts w:ascii="Times New Roman" w:hAnsi="Times New Roman" w:cs="Times New Roman"/>
              </w:rPr>
              <w:t xml:space="preserve"> </w:t>
            </w:r>
            <w:r w:rsidR="00495264" w:rsidRPr="00495264">
              <w:rPr>
                <w:rFonts w:ascii="Times New Roman" w:hAnsi="Times New Roman" w:cs="Times New Roman"/>
              </w:rPr>
              <w:t>€</w:t>
            </w:r>
          </w:p>
        </w:tc>
      </w:tr>
    </w:tbl>
    <w:p w14:paraId="3995C3AA" w14:textId="4200BD56" w:rsidR="000A0789" w:rsidRDefault="000A0789" w:rsidP="00CD3CA0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>Ova aktivnost planira se unutar zadanih limita sukladno up</w:t>
      </w:r>
      <w:r w:rsidR="00F11BE9">
        <w:rPr>
          <w:rFonts w:ascii="Times New Roman" w:hAnsi="Times New Roman" w:cs="Times New Roman"/>
          <w:i/>
          <w:sz w:val="24"/>
          <w:szCs w:val="24"/>
        </w:rPr>
        <w:t>utama nadležnog Ministarstva, a u okviru ove aktivnosti planiraju se sredstva koja se osiguravaju iz izvora 11 za sve tri komponente.</w:t>
      </w:r>
    </w:p>
    <w:p w14:paraId="47855487" w14:textId="77777777" w:rsidR="007B1873" w:rsidRPr="00416374" w:rsidRDefault="007B1873" w:rsidP="007B1873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374">
        <w:rPr>
          <w:rFonts w:ascii="Times New Roman" w:hAnsi="Times New Roman" w:cs="Times New Roman"/>
          <w:i/>
          <w:sz w:val="24"/>
          <w:szCs w:val="24"/>
        </w:rPr>
        <w:t>Provedba ove aktivnosti provodi se svake godine temeljem ugovora o programskom financiranju znanstvene djelatnosti koje Institut ugovara sa nadležnim Ministarstvom znanosti i obrazovanja.</w:t>
      </w:r>
    </w:p>
    <w:p w14:paraId="6E9251EA" w14:textId="77777777" w:rsidR="00B46A3A" w:rsidRDefault="007B1873" w:rsidP="00CD3CA0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374">
        <w:rPr>
          <w:rFonts w:ascii="Times New Roman" w:hAnsi="Times New Roman" w:cs="Times New Roman"/>
          <w:i/>
          <w:sz w:val="24"/>
          <w:szCs w:val="24"/>
        </w:rPr>
        <w:t>Sredstva programskog financiranja planiraju se sukladno zadanim limitima, a dodjeljuju se prema zaključenom programskom ugovoru.</w:t>
      </w:r>
    </w:p>
    <w:p w14:paraId="04045EFB" w14:textId="11225E8F" w:rsidR="003A5B33" w:rsidRDefault="003A5B33" w:rsidP="00CD3CA0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Sastoji se od sljedećih elemenata:</w:t>
      </w:r>
    </w:p>
    <w:p w14:paraId="41801132" w14:textId="0933B55E" w:rsidR="000A0789" w:rsidRPr="00F57E66" w:rsidRDefault="000A0789" w:rsidP="00CD3CA0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 xml:space="preserve">Rashodi za </w:t>
      </w:r>
      <w:r w:rsidR="003A5B33">
        <w:rPr>
          <w:rFonts w:ascii="Times New Roman" w:hAnsi="Times New Roman" w:cs="Times New Roman"/>
          <w:i/>
          <w:sz w:val="24"/>
          <w:szCs w:val="24"/>
        </w:rPr>
        <w:t>redovnu djelatnost,</w:t>
      </w:r>
      <w:r w:rsidR="007B1873">
        <w:rPr>
          <w:rFonts w:ascii="Times New Roman" w:hAnsi="Times New Roman" w:cs="Times New Roman"/>
          <w:i/>
          <w:sz w:val="24"/>
          <w:szCs w:val="24"/>
        </w:rPr>
        <w:t xml:space="preserve"> hladni pogon,</w:t>
      </w:r>
      <w:r w:rsidR="003A5B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1873">
        <w:rPr>
          <w:rFonts w:ascii="Times New Roman" w:hAnsi="Times New Roman" w:cs="Times New Roman"/>
          <w:i/>
          <w:sz w:val="24"/>
          <w:szCs w:val="24"/>
        </w:rPr>
        <w:t>t</w:t>
      </w:r>
      <w:r w:rsidR="007B1873" w:rsidRPr="00C57653">
        <w:rPr>
          <w:rFonts w:ascii="Times New Roman" w:hAnsi="Times New Roman" w:cs="Times New Roman"/>
          <w:i/>
          <w:sz w:val="24"/>
          <w:szCs w:val="24"/>
        </w:rPr>
        <w:t>rošak nabave kapitalne opreme</w:t>
      </w:r>
      <w:r w:rsidR="007B1873">
        <w:rPr>
          <w:rFonts w:ascii="Times New Roman" w:hAnsi="Times New Roman" w:cs="Times New Roman"/>
          <w:i/>
          <w:sz w:val="24"/>
          <w:szCs w:val="24"/>
        </w:rPr>
        <w:t>,</w:t>
      </w:r>
      <w:r w:rsidR="007B1873" w:rsidRPr="007B18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1873">
        <w:rPr>
          <w:rFonts w:ascii="Times New Roman" w:hAnsi="Times New Roman" w:cs="Times New Roman"/>
          <w:i/>
          <w:sz w:val="24"/>
          <w:szCs w:val="24"/>
        </w:rPr>
        <w:t>f</w:t>
      </w:r>
      <w:r w:rsidR="007B1873" w:rsidRPr="00C57653">
        <w:rPr>
          <w:rFonts w:ascii="Times New Roman" w:hAnsi="Times New Roman" w:cs="Times New Roman"/>
          <w:i/>
          <w:sz w:val="24"/>
          <w:szCs w:val="24"/>
        </w:rPr>
        <w:t>inanciranje institucijskih ciljeva</w:t>
      </w:r>
      <w:r w:rsidR="007B18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3A5B33">
        <w:rPr>
          <w:rFonts w:ascii="Times New Roman" w:hAnsi="Times New Roman" w:cs="Times New Roman"/>
          <w:i/>
          <w:sz w:val="24"/>
          <w:szCs w:val="24"/>
        </w:rPr>
        <w:t>programsko financiranje, školarine, časopisi, skupovi, popularizacija i međunarodne članarine.</w:t>
      </w:r>
      <w:r w:rsidRPr="00F57E6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FD9A831" w14:textId="63553AE7" w:rsidR="00BF56E5" w:rsidRDefault="00BF56E5" w:rsidP="00CD3CA0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07">
        <w:rPr>
          <w:rFonts w:ascii="Times New Roman" w:hAnsi="Times New Roman" w:cs="Times New Roman"/>
          <w:sz w:val="24"/>
          <w:szCs w:val="24"/>
        </w:rPr>
        <w:t>Izračun financijskog plana</w:t>
      </w:r>
      <w:r w:rsidR="003A5B33" w:rsidRPr="00232C07">
        <w:rPr>
          <w:rFonts w:ascii="Times New Roman" w:hAnsi="Times New Roman" w:cs="Times New Roman"/>
          <w:sz w:val="24"/>
          <w:szCs w:val="24"/>
        </w:rPr>
        <w:t xml:space="preserve"> za plaće i materija</w:t>
      </w:r>
      <w:r w:rsidR="00232C07" w:rsidRPr="00232C07">
        <w:rPr>
          <w:rFonts w:ascii="Times New Roman" w:hAnsi="Times New Roman" w:cs="Times New Roman"/>
          <w:sz w:val="24"/>
          <w:szCs w:val="24"/>
        </w:rPr>
        <w:t xml:space="preserve">lna prava zaposlenih </w:t>
      </w:r>
      <w:r w:rsidR="00232C07">
        <w:rPr>
          <w:rFonts w:ascii="Times New Roman" w:hAnsi="Times New Roman" w:cs="Times New Roman"/>
          <w:sz w:val="24"/>
          <w:szCs w:val="24"/>
        </w:rPr>
        <w:t xml:space="preserve">temelji se na izračunu plaća i planu zapošljavanja sukladno potpisanom četverogodišnjem Programskom ugovoru. U 2024. godini planirano je 40 zaposlenika, u 2025.godini 44 zaposlenika a u 2026. godini 47 zaposlenika. Osim prijevoza, uključena su i materijalna prava: božićnica, regres, </w:t>
      </w:r>
      <w:proofErr w:type="spellStart"/>
      <w:r w:rsidR="00232C07">
        <w:rPr>
          <w:rFonts w:ascii="Times New Roman" w:hAnsi="Times New Roman" w:cs="Times New Roman"/>
          <w:sz w:val="24"/>
          <w:szCs w:val="24"/>
        </w:rPr>
        <w:t>uskrsnica</w:t>
      </w:r>
      <w:proofErr w:type="spellEnd"/>
      <w:r w:rsidR="00232C07">
        <w:rPr>
          <w:rFonts w:ascii="Times New Roman" w:hAnsi="Times New Roman" w:cs="Times New Roman"/>
          <w:sz w:val="24"/>
          <w:szCs w:val="24"/>
        </w:rPr>
        <w:t>, jubilarne nagrade, dar za djecu, naknada za novorođeno dijete te smrtni slučaj.</w:t>
      </w:r>
    </w:p>
    <w:p w14:paraId="57C19778" w14:textId="77777777" w:rsidR="004A491A" w:rsidRDefault="004A491A" w:rsidP="00CD3CA0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892"/>
        <w:gridCol w:w="1531"/>
        <w:gridCol w:w="1530"/>
        <w:gridCol w:w="1539"/>
        <w:gridCol w:w="1539"/>
        <w:gridCol w:w="1320"/>
      </w:tblGrid>
      <w:tr w:rsidR="004A491A" w:rsidRPr="00495264" w14:paraId="11733662" w14:textId="77777777" w:rsidTr="004A491A">
        <w:trPr>
          <w:trHeight w:val="536"/>
        </w:trPr>
        <w:tc>
          <w:tcPr>
            <w:tcW w:w="1598" w:type="dxa"/>
            <w:shd w:val="clear" w:color="auto" w:fill="D0CECE" w:themeFill="background2" w:themeFillShade="E6"/>
          </w:tcPr>
          <w:p w14:paraId="6398D4DF" w14:textId="77777777" w:rsidR="004A491A" w:rsidRPr="00495264" w:rsidRDefault="004A491A" w:rsidP="004A491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92B68EB" w14:textId="77777777" w:rsidR="004A491A" w:rsidRPr="00495264" w:rsidRDefault="004A491A" w:rsidP="004A491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shd w:val="clear" w:color="auto" w:fill="D0CECE" w:themeFill="background2" w:themeFillShade="E6"/>
            <w:vAlign w:val="center"/>
          </w:tcPr>
          <w:p w14:paraId="1164ED85" w14:textId="77777777" w:rsidR="004A491A" w:rsidRPr="00495264" w:rsidRDefault="004A491A" w:rsidP="004A491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Izvršenje 2022.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67F8BB64" w14:textId="77777777" w:rsidR="004A491A" w:rsidRPr="00495264" w:rsidRDefault="004A491A" w:rsidP="004A491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2023</w:t>
            </w:r>
            <w:r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4C39CE62" w14:textId="77777777" w:rsidR="004A491A" w:rsidRPr="00495264" w:rsidRDefault="004A491A" w:rsidP="004A491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2024</w:t>
            </w:r>
            <w:r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60AF6462" w14:textId="77777777" w:rsidR="004A491A" w:rsidRPr="00495264" w:rsidRDefault="004A491A" w:rsidP="004A491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2025</w:t>
            </w:r>
            <w:r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5" w:type="dxa"/>
            <w:shd w:val="clear" w:color="auto" w:fill="D0CECE" w:themeFill="background2" w:themeFillShade="E6"/>
            <w:vAlign w:val="center"/>
          </w:tcPr>
          <w:p w14:paraId="43AAFB30" w14:textId="77777777" w:rsidR="004A491A" w:rsidRPr="00495264" w:rsidRDefault="004A491A" w:rsidP="004A491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 xml:space="preserve">Plan 2026. </w:t>
            </w:r>
          </w:p>
        </w:tc>
      </w:tr>
      <w:tr w:rsidR="004A491A" w:rsidRPr="00495264" w14:paraId="660B795E" w14:textId="77777777" w:rsidTr="004A491A">
        <w:trPr>
          <w:trHeight w:val="1323"/>
        </w:trPr>
        <w:tc>
          <w:tcPr>
            <w:tcW w:w="1598" w:type="dxa"/>
          </w:tcPr>
          <w:p w14:paraId="0BFA0E31" w14:textId="77777777" w:rsidR="004A491A" w:rsidRPr="00495264" w:rsidRDefault="004A491A" w:rsidP="004A49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A491A">
              <w:rPr>
                <w:rFonts w:ascii="Times New Roman" w:hAnsi="Times New Roman" w:cs="Times New Roman"/>
              </w:rPr>
              <w:t>A622152</w:t>
            </w:r>
            <w:r w:rsidRPr="00495264">
              <w:rPr>
                <w:rFonts w:ascii="Times New Roman" w:hAnsi="Times New Roman" w:cs="Times New Roman"/>
              </w:rPr>
              <w:t xml:space="preserve"> </w:t>
            </w:r>
            <w:r w:rsidRPr="004A491A">
              <w:rPr>
                <w:rFonts w:ascii="Times New Roman" w:hAnsi="Times New Roman" w:cs="Times New Roman"/>
              </w:rPr>
              <w:t>'PROGRAMSKO FINANCIRANJE JAVNIH INSTITUTA  - IZ STRUKTURNIH I INVESTICIJSKIH FONDOVA EU</w:t>
            </w:r>
          </w:p>
        </w:tc>
        <w:tc>
          <w:tcPr>
            <w:tcW w:w="1576" w:type="dxa"/>
          </w:tcPr>
          <w:p w14:paraId="12FF374F" w14:textId="77777777" w:rsidR="004A491A" w:rsidRDefault="004A491A" w:rsidP="004A491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63F98C71" w14:textId="77777777" w:rsidR="004A491A" w:rsidRPr="00495264" w:rsidRDefault="004A491A" w:rsidP="004A491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</w:tcPr>
          <w:p w14:paraId="778DB479" w14:textId="77777777" w:rsidR="004A491A" w:rsidRPr="00495264" w:rsidRDefault="004A491A" w:rsidP="004A491A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952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04" w:type="dxa"/>
          </w:tcPr>
          <w:p w14:paraId="1251759A" w14:textId="64C1C310" w:rsidR="004A491A" w:rsidRPr="00495264" w:rsidRDefault="000A6B0B" w:rsidP="004A491A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87.571</w:t>
            </w:r>
            <w:r w:rsidR="004A491A"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604" w:type="dxa"/>
          </w:tcPr>
          <w:p w14:paraId="5A19614C" w14:textId="77777777" w:rsidR="004A491A" w:rsidRPr="00495264" w:rsidRDefault="004A491A" w:rsidP="004A491A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82.136</w:t>
            </w:r>
            <w:r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365" w:type="dxa"/>
          </w:tcPr>
          <w:p w14:paraId="1AB67DF9" w14:textId="77777777" w:rsidR="004A491A" w:rsidRPr="00495264" w:rsidRDefault="004A491A" w:rsidP="004A491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82.136</w:t>
            </w:r>
            <w:r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</w:tr>
    </w:tbl>
    <w:p w14:paraId="74D4CDBB" w14:textId="168BC797" w:rsidR="004A491A" w:rsidRDefault="004A491A" w:rsidP="00CD3CA0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4A5DA" w14:textId="627D966C" w:rsidR="004A491A" w:rsidRPr="00270469" w:rsidRDefault="004A491A" w:rsidP="00CD3CA0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Osim aktivnosti </w:t>
      </w:r>
      <w:r w:rsidRPr="004A491A">
        <w:rPr>
          <w:rFonts w:ascii="Times New Roman" w:hAnsi="Times New Roman" w:cs="Times New Roman"/>
          <w:sz w:val="24"/>
          <w:szCs w:val="24"/>
        </w:rPr>
        <w:t>A622150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1A">
        <w:rPr>
          <w:rFonts w:ascii="Times New Roman" w:hAnsi="Times New Roman" w:cs="Times New Roman"/>
        </w:rPr>
        <w:t>'PROGRAMSKO FINANCIRANJE JAVNIH INSTITUTA</w:t>
      </w:r>
      <w:r>
        <w:rPr>
          <w:rFonts w:ascii="Times New Roman" w:hAnsi="Times New Roman" w:cs="Times New Roman"/>
        </w:rPr>
        <w:t xml:space="preserve">, dio Programskog ugovora čini aktivnost </w:t>
      </w:r>
      <w:r w:rsidRPr="004A491A">
        <w:rPr>
          <w:rFonts w:ascii="Times New Roman" w:hAnsi="Times New Roman" w:cs="Times New Roman"/>
        </w:rPr>
        <w:t>A622152</w:t>
      </w:r>
      <w:r w:rsidRPr="00495264">
        <w:rPr>
          <w:rFonts w:ascii="Times New Roman" w:hAnsi="Times New Roman" w:cs="Times New Roman"/>
        </w:rPr>
        <w:t xml:space="preserve"> </w:t>
      </w:r>
      <w:r w:rsidRPr="004A491A">
        <w:rPr>
          <w:rFonts w:ascii="Times New Roman" w:hAnsi="Times New Roman" w:cs="Times New Roman"/>
        </w:rPr>
        <w:t>'PROGRAMSKO FINANCIRANJE JAVNIH INSTITUTA  - IZ STRUKTURNIH I INVESTICIJSKIH FONDOVA EU</w:t>
      </w:r>
      <w:r>
        <w:rPr>
          <w:rFonts w:ascii="Times New Roman" w:hAnsi="Times New Roman" w:cs="Times New Roman"/>
        </w:rPr>
        <w:t xml:space="preserve">. Za razliku od Programskog financiranja koji se financira iz </w:t>
      </w:r>
      <w:r w:rsidR="0027046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zvora </w:t>
      </w:r>
      <w:r w:rsidRPr="00270469">
        <w:rPr>
          <w:rFonts w:ascii="Times New Roman" w:hAnsi="Times New Roman" w:cs="Times New Roman"/>
          <w:i/>
        </w:rPr>
        <w:t>1.1 Opći prihodi i primici</w:t>
      </w:r>
      <w:r>
        <w:rPr>
          <w:rFonts w:ascii="Times New Roman" w:hAnsi="Times New Roman" w:cs="Times New Roman"/>
        </w:rPr>
        <w:t>, ak</w:t>
      </w:r>
      <w:r w:rsidR="00270469">
        <w:rPr>
          <w:rFonts w:ascii="Times New Roman" w:hAnsi="Times New Roman" w:cs="Times New Roman"/>
        </w:rPr>
        <w:t xml:space="preserve">tivnosti Programskog financiranja iz strukturnih i investicijskih fondova EU financirani su iz izvora </w:t>
      </w:r>
      <w:r w:rsidR="00270469" w:rsidRPr="00270469">
        <w:rPr>
          <w:rFonts w:ascii="Times New Roman" w:hAnsi="Times New Roman" w:cs="Times New Roman"/>
          <w:i/>
        </w:rPr>
        <w:t>581 Mehanizmi za oporavak i otpornost.</w:t>
      </w:r>
      <w:r w:rsidR="00270469">
        <w:rPr>
          <w:rFonts w:ascii="Times New Roman" w:hAnsi="Times New Roman" w:cs="Times New Roman"/>
          <w:i/>
        </w:rPr>
        <w:t xml:space="preserve"> </w:t>
      </w:r>
      <w:r w:rsidR="00270469" w:rsidRPr="00270469">
        <w:rPr>
          <w:rFonts w:ascii="Times New Roman" w:hAnsi="Times New Roman" w:cs="Times New Roman"/>
        </w:rPr>
        <w:t xml:space="preserve">S </w:t>
      </w:r>
      <w:r w:rsidR="00270469">
        <w:rPr>
          <w:rFonts w:ascii="Times New Roman" w:hAnsi="Times New Roman" w:cs="Times New Roman"/>
        </w:rPr>
        <w:t>obzirom da se Institut dosad nije financirao iz navedenog izvora, tek je naveden u n</w:t>
      </w:r>
      <w:r w:rsidR="00676A8F">
        <w:rPr>
          <w:rFonts w:ascii="Times New Roman" w:hAnsi="Times New Roman" w:cs="Times New Roman"/>
        </w:rPr>
        <w:t>arednom trogodišnjem razdoblju i to u jednakim</w:t>
      </w:r>
      <w:r w:rsidR="00270469">
        <w:rPr>
          <w:rFonts w:ascii="Times New Roman" w:hAnsi="Times New Roman" w:cs="Times New Roman"/>
        </w:rPr>
        <w:t xml:space="preserve"> iznos</w:t>
      </w:r>
      <w:r w:rsidR="00676A8F">
        <w:rPr>
          <w:rFonts w:ascii="Times New Roman" w:hAnsi="Times New Roman" w:cs="Times New Roman"/>
        </w:rPr>
        <w:t>ima</w:t>
      </w:r>
      <w:r w:rsidR="00270469">
        <w:rPr>
          <w:rFonts w:ascii="Times New Roman" w:hAnsi="Times New Roman" w:cs="Times New Roman"/>
        </w:rPr>
        <w:t xml:space="preserve"> sukladno dod</w:t>
      </w:r>
      <w:r w:rsidR="00676A8F">
        <w:rPr>
          <w:rFonts w:ascii="Times New Roman" w:hAnsi="Times New Roman" w:cs="Times New Roman"/>
        </w:rPr>
        <w:t>i</w:t>
      </w:r>
      <w:r w:rsidR="00270469">
        <w:rPr>
          <w:rFonts w:ascii="Times New Roman" w:hAnsi="Times New Roman" w:cs="Times New Roman"/>
        </w:rPr>
        <w:t xml:space="preserve">jeljenim limitima. </w:t>
      </w:r>
      <w:r w:rsidR="00023D24">
        <w:rPr>
          <w:rFonts w:ascii="Times New Roman" w:hAnsi="Times New Roman" w:cs="Times New Roman"/>
        </w:rPr>
        <w:t>U</w:t>
      </w:r>
      <w:r w:rsidR="00270469">
        <w:rPr>
          <w:rFonts w:ascii="Times New Roman" w:hAnsi="Times New Roman" w:cs="Times New Roman"/>
        </w:rPr>
        <w:t xml:space="preserve"> projekciji za 2026. godinu navedeni </w:t>
      </w:r>
      <w:r w:rsidR="00023D24">
        <w:rPr>
          <w:rFonts w:ascii="Times New Roman" w:hAnsi="Times New Roman" w:cs="Times New Roman"/>
        </w:rPr>
        <w:t xml:space="preserve">su </w:t>
      </w:r>
      <w:r w:rsidR="00270469">
        <w:rPr>
          <w:rFonts w:ascii="Times New Roman" w:hAnsi="Times New Roman" w:cs="Times New Roman"/>
        </w:rPr>
        <w:t>realni planirani iznosi plaća i materijalnih prava a sve u skladu sa potpisanim P</w:t>
      </w:r>
      <w:r w:rsidR="00023D24">
        <w:rPr>
          <w:rFonts w:ascii="Times New Roman" w:hAnsi="Times New Roman" w:cs="Times New Roman"/>
        </w:rPr>
        <w:t xml:space="preserve">rogramskim ugovorom. Kako povećanje izvora </w:t>
      </w:r>
      <w:r w:rsidR="00023D24" w:rsidRPr="00023D24">
        <w:rPr>
          <w:rFonts w:ascii="Times New Roman" w:hAnsi="Times New Roman" w:cs="Times New Roman"/>
          <w:i/>
        </w:rPr>
        <w:t>1.1 Opći prihodi i primici</w:t>
      </w:r>
      <w:r w:rsidR="00023D24">
        <w:rPr>
          <w:rFonts w:ascii="Times New Roman" w:hAnsi="Times New Roman" w:cs="Times New Roman"/>
          <w:i/>
        </w:rPr>
        <w:t xml:space="preserve"> </w:t>
      </w:r>
      <w:r w:rsidR="00023D24" w:rsidRPr="00023D24">
        <w:rPr>
          <w:rFonts w:ascii="Times New Roman" w:hAnsi="Times New Roman" w:cs="Times New Roman"/>
        </w:rPr>
        <w:t>nije</w:t>
      </w:r>
      <w:r w:rsidR="00023D24">
        <w:rPr>
          <w:rFonts w:ascii="Times New Roman" w:hAnsi="Times New Roman" w:cs="Times New Roman"/>
        </w:rPr>
        <w:t xml:space="preserve"> proporcionalno povećaju iznosa plaća, razlika se financira upravo iz izvora </w:t>
      </w:r>
      <w:r w:rsidR="00023D24" w:rsidRPr="00270469">
        <w:rPr>
          <w:rFonts w:ascii="Times New Roman" w:hAnsi="Times New Roman" w:cs="Times New Roman"/>
          <w:i/>
        </w:rPr>
        <w:t>581 Mehanizmi za oporavak i otpornos</w:t>
      </w:r>
      <w:r w:rsidR="00023D24">
        <w:rPr>
          <w:rFonts w:ascii="Times New Roman" w:hAnsi="Times New Roman" w:cs="Times New Roman"/>
          <w:i/>
        </w:rPr>
        <w:t>t.</w:t>
      </w:r>
    </w:p>
    <w:p w14:paraId="2AFB89F1" w14:textId="77777777" w:rsidR="006D6853" w:rsidRPr="00C57653" w:rsidRDefault="006D6853" w:rsidP="00CD3CA0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865EE" w14:textId="0B2196C8" w:rsidR="000A0789" w:rsidRPr="00416374" w:rsidRDefault="000A0789" w:rsidP="00CD3CA0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374">
        <w:rPr>
          <w:rFonts w:ascii="Times New Roman" w:hAnsi="Times New Roman" w:cs="Times New Roman"/>
          <w:i/>
          <w:sz w:val="24"/>
          <w:szCs w:val="24"/>
        </w:rPr>
        <w:t>U nastavku su prikazani institucijski ciljevi i rezultati koji su predviđeni Programskim ugovorom u predstojećem planskom razdoblju programskog financiranja</w:t>
      </w:r>
      <w:r w:rsidR="0011476D" w:rsidRPr="00416374">
        <w:rPr>
          <w:rFonts w:ascii="Times New Roman" w:hAnsi="Times New Roman" w:cs="Times New Roman"/>
          <w:i/>
          <w:sz w:val="24"/>
          <w:szCs w:val="24"/>
        </w:rPr>
        <w:t>, a usklađeni su sa strateškim ciljevima Uredbe o programskom financiranju javnih visokih učilišta i javnih znanstvenih instituta u RH</w:t>
      </w:r>
      <w:r w:rsidR="00CE13D9" w:rsidRPr="00416374">
        <w:rPr>
          <w:rFonts w:ascii="Times New Roman" w:hAnsi="Times New Roman" w:cs="Times New Roman"/>
          <w:i/>
          <w:sz w:val="24"/>
          <w:szCs w:val="24"/>
        </w:rPr>
        <w:t xml:space="preserve"> (čl. 4.)</w:t>
      </w:r>
      <w:r w:rsidR="006C728B" w:rsidRPr="00416374">
        <w:rPr>
          <w:rFonts w:ascii="Times New Roman" w:hAnsi="Times New Roman" w:cs="Times New Roman"/>
          <w:i/>
          <w:sz w:val="24"/>
          <w:szCs w:val="24"/>
        </w:rPr>
        <w:t>, i to sljedećim ciljevima:</w:t>
      </w:r>
    </w:p>
    <w:p w14:paraId="0C24123A" w14:textId="29126801" w:rsidR="006C728B" w:rsidRPr="00416374" w:rsidRDefault="006C728B" w:rsidP="00CD3CA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374">
        <w:rPr>
          <w:rFonts w:ascii="Times New Roman" w:hAnsi="Times New Roman" w:cs="Times New Roman"/>
          <w:i/>
          <w:sz w:val="24"/>
          <w:szCs w:val="24"/>
        </w:rPr>
        <w:t>Podizanje znanstvene izvrsnosti</w:t>
      </w:r>
    </w:p>
    <w:p w14:paraId="422CB59F" w14:textId="5470A5EB" w:rsidR="006C728B" w:rsidRPr="00416374" w:rsidRDefault="006C728B" w:rsidP="00CD3CA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374">
        <w:rPr>
          <w:rFonts w:ascii="Times New Roman" w:hAnsi="Times New Roman" w:cs="Times New Roman"/>
          <w:i/>
          <w:sz w:val="24"/>
          <w:szCs w:val="24"/>
        </w:rPr>
        <w:t>Jačanje suradnje s gospodarstvom te razvoj nacionalnog i regionalnog identiteta i kulture</w:t>
      </w:r>
    </w:p>
    <w:p w14:paraId="3351C865" w14:textId="19DCE85D" w:rsidR="00A42074" w:rsidRPr="00416374" w:rsidRDefault="006C728B" w:rsidP="00CD3CA0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374">
        <w:rPr>
          <w:rFonts w:ascii="Times New Roman" w:hAnsi="Times New Roman" w:cs="Times New Roman"/>
          <w:i/>
          <w:sz w:val="24"/>
          <w:szCs w:val="24"/>
        </w:rPr>
        <w:lastRenderedPageBreak/>
        <w:t>Jačanje društvene odgovornosti</w:t>
      </w:r>
    </w:p>
    <w:p w14:paraId="49C0882E" w14:textId="0AACFC7E" w:rsidR="00A42074" w:rsidRPr="00416374" w:rsidRDefault="00A42074" w:rsidP="00CD3CA0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16374">
        <w:rPr>
          <w:rFonts w:ascii="Times New Roman" w:hAnsi="Times New Roman" w:cs="Times New Roman"/>
          <w:iCs/>
          <w:sz w:val="24"/>
          <w:szCs w:val="24"/>
        </w:rPr>
        <w:t>Tablica 1. sadrži pokazatelje rezultata koji pridonose ostvarenju navedenih ciljeva:</w:t>
      </w:r>
    </w:p>
    <w:p w14:paraId="7F6B215E" w14:textId="77777777" w:rsidR="000A0789" w:rsidRPr="00416374" w:rsidRDefault="000A0789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Broj DH znanstvenih radova objavljenih u časopisima uvedenim u bazu SCOPUS i WOS (bez radova u Q1)</w:t>
      </w:r>
    </w:p>
    <w:p w14:paraId="4BEBFF0B" w14:textId="77777777" w:rsidR="000A0789" w:rsidRPr="00416374" w:rsidRDefault="000A0789" w:rsidP="00CD3CA0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 DH znanstvenih radova objavljenih u časopisima uvedenim u bazu SCOPUS i WOS u </w:t>
      </w:r>
      <w:proofErr w:type="spellStart"/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kvartilu</w:t>
      </w:r>
      <w:proofErr w:type="spellEnd"/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Q1</w:t>
      </w:r>
    </w:p>
    <w:p w14:paraId="37A4386A" w14:textId="77777777" w:rsidR="000A0789" w:rsidRPr="00416374" w:rsidRDefault="000A0789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Broj ostalih radova u kategorijama A1, A2 (osim onih iz prethodne kategorije)</w:t>
      </w:r>
    </w:p>
    <w:p w14:paraId="3215182B" w14:textId="77777777" w:rsidR="000A0789" w:rsidRPr="00416374" w:rsidRDefault="000A0789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Broj citiranosti znanstvenih radova objavljenih u bazama Web od Science i </w:t>
      </w:r>
      <w:proofErr w:type="spellStart"/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Scopus</w:t>
      </w:r>
      <w:proofErr w:type="spellEnd"/>
    </w:p>
    <w:p w14:paraId="6E4D0568" w14:textId="77777777" w:rsidR="000A0789" w:rsidRPr="00416374" w:rsidRDefault="000A0789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Broj sudjelovanja (izlaganja) na međunarodnim znanstvenim konferencijama i skupovima</w:t>
      </w:r>
    </w:p>
    <w:p w14:paraId="1BD5542E" w14:textId="728632E5" w:rsidR="000A0789" w:rsidRPr="00416374" w:rsidRDefault="000A0789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Broj sudjelovanja (izlaganja) na domaćim znanstvenim konferencijama i skupovima</w:t>
      </w:r>
    </w:p>
    <w:p w14:paraId="02A10592" w14:textId="7075AAFF" w:rsidR="002965F2" w:rsidRPr="00416374" w:rsidRDefault="002965F2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Broj sudjelovanja u dolaznoj i odlaznoj mobilnosti</w:t>
      </w:r>
    </w:p>
    <w:p w14:paraId="0968D7A1" w14:textId="6508F863" w:rsidR="008B405E" w:rsidRPr="00416374" w:rsidRDefault="008B405E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Broj sudjelovanja zaposlenika stručnih službi na edukacijama i usavršavanjima</w:t>
      </w:r>
    </w:p>
    <w:p w14:paraId="242DD538" w14:textId="3FC744CD" w:rsidR="009570F5" w:rsidRPr="00416374" w:rsidRDefault="009570F5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Broj aktivnosti s ciljem popularizacije znanosti</w:t>
      </w:r>
    </w:p>
    <w:p w14:paraId="5AA746C3" w14:textId="7831F9D3" w:rsidR="0099553C" w:rsidRPr="00416374" w:rsidRDefault="0099553C" w:rsidP="00CD3CA0">
      <w:pPr>
        <w:pStyle w:val="ListParagraph"/>
        <w:numPr>
          <w:ilvl w:val="0"/>
          <w:numId w:val="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16374">
        <w:rPr>
          <w:rFonts w:ascii="Times New Roman" w:eastAsia="Times New Roman" w:hAnsi="Times New Roman" w:cs="Times New Roman"/>
          <w:sz w:val="24"/>
          <w:szCs w:val="24"/>
          <w:lang w:eastAsia="hr-HR"/>
        </w:rPr>
        <w:t>Broj internih edukativnih seminara</w:t>
      </w:r>
    </w:p>
    <w:p w14:paraId="304A0804" w14:textId="77777777" w:rsidR="00DA766D" w:rsidRPr="00CE13D9" w:rsidRDefault="00DA766D" w:rsidP="00CD3CA0">
      <w:pPr>
        <w:pStyle w:val="ListParagraph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D1AE88" w14:textId="3722066E" w:rsidR="00CD3CA0" w:rsidRDefault="00CD3CA0" w:rsidP="00CD3CA0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FAE7BA2" w14:textId="5E345C9C" w:rsidR="000A0789" w:rsidRPr="00416374" w:rsidRDefault="00A42074" w:rsidP="00CD3CA0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16374">
        <w:rPr>
          <w:rFonts w:ascii="Times New Roman" w:hAnsi="Times New Roman" w:cs="Times New Roman"/>
          <w:iCs/>
          <w:sz w:val="24"/>
          <w:szCs w:val="24"/>
        </w:rPr>
        <w:t>Tablica 1. Pokazatelji rezultata ostvarivanja strateških ciljeva Uredbe o programskom financiranju javnih visokih učilišta i javnih znanstvenih instituta u RH</w:t>
      </w:r>
    </w:p>
    <w:tbl>
      <w:tblPr>
        <w:tblStyle w:val="TableGrid"/>
        <w:tblW w:w="94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560"/>
        <w:gridCol w:w="1118"/>
        <w:gridCol w:w="1119"/>
        <w:gridCol w:w="1119"/>
        <w:gridCol w:w="1119"/>
        <w:gridCol w:w="1119"/>
        <w:gridCol w:w="1119"/>
      </w:tblGrid>
      <w:tr w:rsidR="000A0789" w:rsidRPr="004467CE" w14:paraId="52F81162" w14:textId="77777777" w:rsidTr="00DA766D">
        <w:tc>
          <w:tcPr>
            <w:tcW w:w="1129" w:type="dxa"/>
            <w:shd w:val="clear" w:color="auto" w:fill="D0CECE" w:themeFill="background2" w:themeFillShade="E6"/>
            <w:vAlign w:val="center"/>
          </w:tcPr>
          <w:p w14:paraId="33C99CD1" w14:textId="77777777" w:rsidR="000A0789" w:rsidRPr="00F57E66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891C2C9" w14:textId="77777777" w:rsidR="000A0789" w:rsidRPr="00F57E66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Definicija</w:t>
            </w:r>
          </w:p>
        </w:tc>
        <w:tc>
          <w:tcPr>
            <w:tcW w:w="1118" w:type="dxa"/>
            <w:shd w:val="clear" w:color="auto" w:fill="D0CECE" w:themeFill="background2" w:themeFillShade="E6"/>
            <w:vAlign w:val="center"/>
          </w:tcPr>
          <w:p w14:paraId="6AEA7015" w14:textId="77777777" w:rsidR="000A0789" w:rsidRPr="00F57E66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</w:p>
        </w:tc>
        <w:tc>
          <w:tcPr>
            <w:tcW w:w="1119" w:type="dxa"/>
            <w:shd w:val="clear" w:color="auto" w:fill="D0CECE" w:themeFill="background2" w:themeFillShade="E6"/>
            <w:vAlign w:val="center"/>
          </w:tcPr>
          <w:p w14:paraId="3EDAD861" w14:textId="77777777" w:rsidR="000A0789" w:rsidRPr="00F57E66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Polazna vrijednost</w:t>
            </w:r>
          </w:p>
        </w:tc>
        <w:tc>
          <w:tcPr>
            <w:tcW w:w="1119" w:type="dxa"/>
            <w:shd w:val="clear" w:color="auto" w:fill="D0CECE" w:themeFill="background2" w:themeFillShade="E6"/>
            <w:vAlign w:val="center"/>
          </w:tcPr>
          <w:p w14:paraId="6CABD9BA" w14:textId="77777777" w:rsidR="000A0789" w:rsidRPr="00F57E66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Izvor podataka</w:t>
            </w:r>
          </w:p>
        </w:tc>
        <w:tc>
          <w:tcPr>
            <w:tcW w:w="1119" w:type="dxa"/>
            <w:shd w:val="clear" w:color="auto" w:fill="D0CECE" w:themeFill="background2" w:themeFillShade="E6"/>
            <w:vAlign w:val="center"/>
          </w:tcPr>
          <w:p w14:paraId="17CCA245" w14:textId="5217869F" w:rsidR="000A0789" w:rsidRPr="00F57E66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Ciljana vrijednost za 202</w:t>
            </w:r>
            <w:r w:rsidR="001B26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9" w:type="dxa"/>
            <w:shd w:val="clear" w:color="auto" w:fill="D0CECE" w:themeFill="background2" w:themeFillShade="E6"/>
          </w:tcPr>
          <w:p w14:paraId="2079E18C" w14:textId="3471414B" w:rsidR="000A0789" w:rsidRPr="00F57E66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Ciljana vrijednost za 202</w:t>
            </w:r>
            <w:r w:rsidR="001B26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9" w:type="dxa"/>
            <w:shd w:val="clear" w:color="auto" w:fill="D0CECE" w:themeFill="background2" w:themeFillShade="E6"/>
          </w:tcPr>
          <w:p w14:paraId="7ECE7F56" w14:textId="4C5AA1BD" w:rsidR="000A0789" w:rsidRPr="00F57E66" w:rsidRDefault="000A0789" w:rsidP="00CD3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Ciljana vrijednost za 202</w:t>
            </w:r>
            <w:r w:rsidR="001B26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57E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0789" w:rsidRPr="004467CE" w14:paraId="5BCE0B66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</w:tcPr>
          <w:p w14:paraId="11BFC248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Povećanje broja znanstvenih radova objavljenih u časopisima u bazama Web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of</w:t>
            </w:r>
            <w:proofErr w:type="spellEnd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Science i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</w:t>
            </w:r>
            <w:proofErr w:type="spellEnd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bez radova u Q1</w:t>
            </w:r>
          </w:p>
        </w:tc>
        <w:tc>
          <w:tcPr>
            <w:tcW w:w="1560" w:type="dxa"/>
            <w:shd w:val="clear" w:color="auto" w:fill="auto"/>
            <w:noWrap/>
          </w:tcPr>
          <w:p w14:paraId="048D0A4B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Broj znanstvenih radova objavljenih u časopisima u bazama Web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of</w:t>
            </w:r>
            <w:proofErr w:type="spellEnd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Science i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</w:t>
            </w:r>
            <w:proofErr w:type="spellEnd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bez radova u Q1</w:t>
            </w:r>
          </w:p>
        </w:tc>
        <w:tc>
          <w:tcPr>
            <w:tcW w:w="1118" w:type="dxa"/>
            <w:shd w:val="clear" w:color="auto" w:fill="auto"/>
            <w:noWrap/>
          </w:tcPr>
          <w:p w14:paraId="31D09353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Broj </w:t>
            </w:r>
          </w:p>
          <w:p w14:paraId="29B093D9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</w:tcPr>
          <w:p w14:paraId="7624A440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19</w:t>
            </w:r>
          </w:p>
          <w:p w14:paraId="76BE22D5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(2022.)</w:t>
            </w:r>
          </w:p>
        </w:tc>
        <w:tc>
          <w:tcPr>
            <w:tcW w:w="1119" w:type="dxa"/>
            <w:shd w:val="clear" w:color="auto" w:fill="auto"/>
            <w:noWrap/>
          </w:tcPr>
          <w:p w14:paraId="774B41AF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Bibliografske baze</w:t>
            </w:r>
          </w:p>
        </w:tc>
        <w:tc>
          <w:tcPr>
            <w:tcW w:w="1119" w:type="dxa"/>
            <w:shd w:val="clear" w:color="auto" w:fill="auto"/>
            <w:noWrap/>
          </w:tcPr>
          <w:p w14:paraId="1D23BD9A" w14:textId="77777777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</w:t>
            </w:r>
          </w:p>
        </w:tc>
        <w:tc>
          <w:tcPr>
            <w:tcW w:w="1119" w:type="dxa"/>
            <w:shd w:val="clear" w:color="auto" w:fill="auto"/>
            <w:noWrap/>
          </w:tcPr>
          <w:p w14:paraId="7F2D8D7D" w14:textId="77777777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23</w:t>
            </w:r>
          </w:p>
        </w:tc>
        <w:tc>
          <w:tcPr>
            <w:tcW w:w="1119" w:type="dxa"/>
            <w:shd w:val="clear" w:color="auto" w:fill="auto"/>
          </w:tcPr>
          <w:p w14:paraId="1199FEBB" w14:textId="77777777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24</w:t>
            </w:r>
          </w:p>
        </w:tc>
      </w:tr>
      <w:tr w:rsidR="000A0789" w:rsidRPr="004467CE" w14:paraId="3072B305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</w:tcPr>
          <w:p w14:paraId="0A981C21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Povećanje broja znanstvenih radova objavljenih u časopisima u bazama Web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of</w:t>
            </w:r>
            <w:proofErr w:type="spellEnd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Science i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</w:t>
            </w:r>
            <w:proofErr w:type="spellEnd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u Q1</w:t>
            </w:r>
          </w:p>
        </w:tc>
        <w:tc>
          <w:tcPr>
            <w:tcW w:w="1560" w:type="dxa"/>
            <w:shd w:val="clear" w:color="auto" w:fill="auto"/>
            <w:noWrap/>
          </w:tcPr>
          <w:p w14:paraId="087BC9D3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Broj znanstvenih radova objavljenih u časopisima u bazama Web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of</w:t>
            </w:r>
            <w:proofErr w:type="spellEnd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Science i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</w:t>
            </w:r>
            <w:proofErr w:type="spellEnd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u Q1</w:t>
            </w:r>
          </w:p>
        </w:tc>
        <w:tc>
          <w:tcPr>
            <w:tcW w:w="1118" w:type="dxa"/>
            <w:shd w:val="clear" w:color="auto" w:fill="auto"/>
            <w:noWrap/>
          </w:tcPr>
          <w:p w14:paraId="0FFA6119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Broj </w:t>
            </w:r>
          </w:p>
          <w:p w14:paraId="136BAD76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</w:tcPr>
          <w:p w14:paraId="24EA563F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10</w:t>
            </w:r>
          </w:p>
          <w:p w14:paraId="4CFB6236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(2022.)</w:t>
            </w:r>
          </w:p>
        </w:tc>
        <w:tc>
          <w:tcPr>
            <w:tcW w:w="1119" w:type="dxa"/>
            <w:shd w:val="clear" w:color="auto" w:fill="auto"/>
            <w:noWrap/>
          </w:tcPr>
          <w:p w14:paraId="62F39BB7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Bibliografske baze</w:t>
            </w:r>
          </w:p>
        </w:tc>
        <w:tc>
          <w:tcPr>
            <w:tcW w:w="1119" w:type="dxa"/>
            <w:shd w:val="clear" w:color="auto" w:fill="auto"/>
            <w:noWrap/>
          </w:tcPr>
          <w:p w14:paraId="36A99D1D" w14:textId="455A5EEE" w:rsidR="000A0789" w:rsidRPr="00F916F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11</w:t>
            </w:r>
          </w:p>
          <w:p w14:paraId="23FD2F03" w14:textId="77777777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</w:tcPr>
          <w:p w14:paraId="430158E3" w14:textId="0FB8BE19" w:rsidR="000A0789" w:rsidRPr="00F916F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10</w:t>
            </w:r>
          </w:p>
        </w:tc>
        <w:tc>
          <w:tcPr>
            <w:tcW w:w="1119" w:type="dxa"/>
            <w:shd w:val="clear" w:color="auto" w:fill="auto"/>
          </w:tcPr>
          <w:p w14:paraId="25BBCB4B" w14:textId="74286FB6" w:rsidR="000A0789" w:rsidRPr="00F916F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11</w:t>
            </w:r>
          </w:p>
        </w:tc>
      </w:tr>
      <w:tr w:rsidR="000A0789" w:rsidRPr="004467CE" w14:paraId="69D96312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</w:tcPr>
          <w:p w14:paraId="3B4A9830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bookmarkStart w:id="1" w:name="_Hlk525041777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Povećanje broja ostalih radova u kategorijama A1, A2 (osim onih iz prethodne kategorije)</w:t>
            </w:r>
            <w:bookmarkEnd w:id="1"/>
          </w:p>
        </w:tc>
        <w:tc>
          <w:tcPr>
            <w:tcW w:w="1560" w:type="dxa"/>
            <w:shd w:val="clear" w:color="auto" w:fill="auto"/>
            <w:noWrap/>
          </w:tcPr>
          <w:p w14:paraId="37BD4D51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Broj ostalih radova u kategorijama A1, A2 (osim onih iz prethodne kategorije)</w:t>
            </w:r>
          </w:p>
        </w:tc>
        <w:tc>
          <w:tcPr>
            <w:tcW w:w="1118" w:type="dxa"/>
            <w:shd w:val="clear" w:color="auto" w:fill="auto"/>
            <w:noWrap/>
          </w:tcPr>
          <w:p w14:paraId="744BFB22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Broj </w:t>
            </w:r>
          </w:p>
          <w:p w14:paraId="21EE37F9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</w:tcPr>
          <w:p w14:paraId="4AE5FF3B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5</w:t>
            </w:r>
          </w:p>
          <w:p w14:paraId="747D67FA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(2022.)</w:t>
            </w:r>
          </w:p>
        </w:tc>
        <w:tc>
          <w:tcPr>
            <w:tcW w:w="1119" w:type="dxa"/>
            <w:shd w:val="clear" w:color="auto" w:fill="auto"/>
            <w:noWrap/>
          </w:tcPr>
          <w:p w14:paraId="0A0AD118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Bibliografske baze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-repozitorij IDIZ-a </w:t>
            </w:r>
          </w:p>
        </w:tc>
        <w:tc>
          <w:tcPr>
            <w:tcW w:w="1119" w:type="dxa"/>
            <w:shd w:val="clear" w:color="auto" w:fill="auto"/>
            <w:noWrap/>
          </w:tcPr>
          <w:p w14:paraId="5C042F27" w14:textId="504CA1EB" w:rsidR="000A0789" w:rsidRPr="00DB6D53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</w:t>
            </w:r>
          </w:p>
          <w:p w14:paraId="2791D62B" w14:textId="77777777" w:rsidR="000A0789" w:rsidRPr="00DB6D53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</w:tcPr>
          <w:p w14:paraId="20D1F1C9" w14:textId="5EE9FED4" w:rsidR="000A0789" w:rsidRPr="00DB6D53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31356E68" w14:textId="623AD58C" w:rsidR="000A0789" w:rsidRPr="00DB6D53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</w:t>
            </w:r>
          </w:p>
        </w:tc>
      </w:tr>
      <w:tr w:rsidR="000A0789" w:rsidRPr="004467CE" w14:paraId="34B44C63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</w:tcPr>
          <w:p w14:paraId="53BA9AD4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highlight w:val="yellow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lastRenderedPageBreak/>
              <w:t xml:space="preserve">Povećanje citiranosti znanstvenih radova objavljenih u bazama Web od Science i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</w:tcPr>
          <w:p w14:paraId="38D2A96F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highlight w:val="yellow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Broj citiranosti znanstvenih radova objavljenih u bazama Web od Science i </w:t>
            </w:r>
            <w:proofErr w:type="spellStart"/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</w:t>
            </w:r>
            <w:proofErr w:type="spellEnd"/>
          </w:p>
        </w:tc>
        <w:tc>
          <w:tcPr>
            <w:tcW w:w="1118" w:type="dxa"/>
            <w:shd w:val="clear" w:color="auto" w:fill="auto"/>
            <w:noWrap/>
          </w:tcPr>
          <w:p w14:paraId="04BAC8D1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Broj </w:t>
            </w:r>
          </w:p>
          <w:p w14:paraId="0CB6A3F7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highlight w:val="yellow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</w:tcPr>
          <w:p w14:paraId="55BCEA62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proofErr w:type="spellStart"/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</w:t>
            </w:r>
            <w:proofErr w:type="spellEnd"/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- 406</w:t>
            </w:r>
          </w:p>
          <w:p w14:paraId="4B789F85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proofErr w:type="spellStart"/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WoSCC</w:t>
            </w:r>
            <w:proofErr w:type="spellEnd"/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- 217</w:t>
            </w:r>
          </w:p>
          <w:p w14:paraId="6D8C9D10" w14:textId="77777777" w:rsidR="000A0789" w:rsidRPr="00CE13D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CE13D9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(2022.)</w:t>
            </w:r>
          </w:p>
        </w:tc>
        <w:tc>
          <w:tcPr>
            <w:tcW w:w="1119" w:type="dxa"/>
            <w:shd w:val="clear" w:color="auto" w:fill="auto"/>
            <w:noWrap/>
          </w:tcPr>
          <w:p w14:paraId="4672504B" w14:textId="77777777" w:rsidR="000A0789" w:rsidRPr="00F916F8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 w:rsidRPr="00F916F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Bibliografske baze</w:t>
            </w:r>
          </w:p>
        </w:tc>
        <w:tc>
          <w:tcPr>
            <w:tcW w:w="1119" w:type="dxa"/>
            <w:shd w:val="clear" w:color="auto" w:fill="auto"/>
            <w:noWrap/>
          </w:tcPr>
          <w:p w14:paraId="2A7F333A" w14:textId="17635060" w:rsidR="000A078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Scopus-</w:t>
            </w:r>
            <w:r w:rsidR="001B2610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410</w:t>
            </w:r>
          </w:p>
          <w:p w14:paraId="6CDCF3B6" w14:textId="1455D921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WoSCC-2</w:t>
            </w:r>
            <w:r w:rsidR="001B2610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20</w:t>
            </w:r>
          </w:p>
          <w:p w14:paraId="737E7D6F" w14:textId="77777777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1119" w:type="dxa"/>
            <w:shd w:val="clear" w:color="auto" w:fill="auto"/>
            <w:noWrap/>
          </w:tcPr>
          <w:p w14:paraId="569EEFF4" w14:textId="15389544" w:rsidR="000A078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Scopus-</w:t>
            </w:r>
            <w:r w:rsidR="001B2610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409</w:t>
            </w:r>
          </w:p>
          <w:p w14:paraId="2A683B62" w14:textId="4602C3BF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WoSCC-</w:t>
            </w:r>
            <w:r w:rsidR="001B2610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221</w:t>
            </w:r>
          </w:p>
          <w:p w14:paraId="7BBAECF9" w14:textId="77777777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14:paraId="4D220C82" w14:textId="5AB031D7" w:rsidR="000A0789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Scopus-</w:t>
            </w:r>
            <w:r w:rsidR="001B2610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410</w:t>
            </w:r>
          </w:p>
          <w:p w14:paraId="2E46C167" w14:textId="26B39B16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WoSCC-2</w:t>
            </w:r>
            <w:r w:rsidR="001B2610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20</w:t>
            </w:r>
          </w:p>
          <w:p w14:paraId="6B764EA7" w14:textId="77777777" w:rsidR="000A0789" w:rsidRPr="00F916F8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</w:p>
        </w:tc>
      </w:tr>
      <w:tr w:rsidR="000A0789" w:rsidRPr="004467CE" w14:paraId="178329A6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</w:tcPr>
          <w:p w14:paraId="03E34537" w14:textId="7777777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Povećanje broja sudjelovanja (izlaganja) na </w:t>
            </w:r>
            <w:proofErr w:type="spellStart"/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međunar</w:t>
            </w:r>
            <w:proofErr w:type="spellEnd"/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. znanstvenim konferencijama i skupovima</w:t>
            </w:r>
          </w:p>
        </w:tc>
        <w:tc>
          <w:tcPr>
            <w:tcW w:w="1560" w:type="dxa"/>
            <w:shd w:val="clear" w:color="auto" w:fill="auto"/>
            <w:noWrap/>
          </w:tcPr>
          <w:p w14:paraId="40E2FAE4" w14:textId="7777777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bookmarkStart w:id="2" w:name="_Hlk525041874"/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Broj sudjelovanja (izlaganja) na međunarodnim znanstvenim konferencijama</w:t>
            </w:r>
            <w:bookmarkEnd w:id="2"/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 i skupovima</w:t>
            </w:r>
          </w:p>
        </w:tc>
        <w:tc>
          <w:tcPr>
            <w:tcW w:w="1118" w:type="dxa"/>
            <w:shd w:val="clear" w:color="auto" w:fill="auto"/>
            <w:noWrap/>
          </w:tcPr>
          <w:p w14:paraId="5EBFC13C" w14:textId="7777777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Broj </w:t>
            </w:r>
          </w:p>
          <w:p w14:paraId="7D6514C7" w14:textId="7777777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</w:tcPr>
          <w:p w14:paraId="53516B06" w14:textId="52E8C9C4" w:rsidR="000A0789" w:rsidRPr="001B2610" w:rsidRDefault="008C646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36</w:t>
            </w:r>
          </w:p>
          <w:p w14:paraId="7583A1A3" w14:textId="18D7E085" w:rsidR="000A0789" w:rsidRPr="001B2610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(202</w:t>
            </w:r>
            <w:r w:rsidR="008C6469"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2</w:t>
            </w: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.)</w:t>
            </w:r>
          </w:p>
        </w:tc>
        <w:tc>
          <w:tcPr>
            <w:tcW w:w="1119" w:type="dxa"/>
            <w:shd w:val="clear" w:color="auto" w:fill="auto"/>
            <w:noWrap/>
          </w:tcPr>
          <w:p w14:paraId="55DCEFF6" w14:textId="66305AC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Institut</w:t>
            </w:r>
            <w:r w:rsidR="00710B9E"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 – godišnji izvještaj o radu</w:t>
            </w:r>
          </w:p>
        </w:tc>
        <w:tc>
          <w:tcPr>
            <w:tcW w:w="1119" w:type="dxa"/>
            <w:shd w:val="clear" w:color="auto" w:fill="auto"/>
            <w:noWrap/>
          </w:tcPr>
          <w:p w14:paraId="368C15AB" w14:textId="72C311AD" w:rsidR="000A0789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37</w:t>
            </w:r>
          </w:p>
        </w:tc>
        <w:tc>
          <w:tcPr>
            <w:tcW w:w="1119" w:type="dxa"/>
            <w:shd w:val="clear" w:color="auto" w:fill="auto"/>
            <w:noWrap/>
          </w:tcPr>
          <w:p w14:paraId="14AB4E91" w14:textId="09841F99" w:rsidR="000A0789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38</w:t>
            </w:r>
          </w:p>
        </w:tc>
        <w:tc>
          <w:tcPr>
            <w:tcW w:w="1119" w:type="dxa"/>
            <w:shd w:val="clear" w:color="auto" w:fill="auto"/>
          </w:tcPr>
          <w:p w14:paraId="76D9AB07" w14:textId="676BAF43" w:rsidR="000A0789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37</w:t>
            </w:r>
          </w:p>
        </w:tc>
      </w:tr>
      <w:tr w:rsidR="000A0789" w:rsidRPr="004467CE" w14:paraId="3892298B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</w:tcPr>
          <w:p w14:paraId="1DE193C2" w14:textId="7777777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Povećanje broja sudjelovanja (izlaganja) na domaćim znanstvenim konferencijama i skupovima</w:t>
            </w:r>
          </w:p>
        </w:tc>
        <w:tc>
          <w:tcPr>
            <w:tcW w:w="1560" w:type="dxa"/>
            <w:shd w:val="clear" w:color="auto" w:fill="auto"/>
            <w:noWrap/>
          </w:tcPr>
          <w:p w14:paraId="71EE33C5" w14:textId="7777777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Broj sudjelovanja (izlaganja) na domaćim znanstvenim konferencijama i skupovima</w:t>
            </w:r>
          </w:p>
        </w:tc>
        <w:tc>
          <w:tcPr>
            <w:tcW w:w="1118" w:type="dxa"/>
            <w:shd w:val="clear" w:color="auto" w:fill="auto"/>
            <w:noWrap/>
          </w:tcPr>
          <w:p w14:paraId="5A44F28B" w14:textId="7777777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Broj </w:t>
            </w:r>
          </w:p>
          <w:p w14:paraId="2219A094" w14:textId="77777777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</w:tcPr>
          <w:p w14:paraId="4C321EB0" w14:textId="6068FAE5" w:rsidR="000A0789" w:rsidRPr="001B2610" w:rsidRDefault="008C646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42</w:t>
            </w:r>
          </w:p>
          <w:p w14:paraId="39D0265F" w14:textId="07E9EFEA" w:rsidR="000A0789" w:rsidRPr="001B2610" w:rsidRDefault="000A0789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(202</w:t>
            </w:r>
            <w:r w:rsidR="008C6469"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2</w:t>
            </w: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.)</w:t>
            </w:r>
          </w:p>
        </w:tc>
        <w:tc>
          <w:tcPr>
            <w:tcW w:w="1119" w:type="dxa"/>
            <w:shd w:val="clear" w:color="auto" w:fill="auto"/>
            <w:noWrap/>
          </w:tcPr>
          <w:p w14:paraId="015CDB97" w14:textId="57C33163" w:rsidR="000A0789" w:rsidRPr="001B2610" w:rsidRDefault="000A0789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Institut</w:t>
            </w:r>
            <w:r w:rsidR="00710B9E"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 – godišnji izvještaj o radu</w:t>
            </w:r>
          </w:p>
        </w:tc>
        <w:tc>
          <w:tcPr>
            <w:tcW w:w="1119" w:type="dxa"/>
            <w:shd w:val="clear" w:color="auto" w:fill="auto"/>
            <w:noWrap/>
          </w:tcPr>
          <w:p w14:paraId="3751E455" w14:textId="21C75A2A" w:rsidR="000A0789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45</w:t>
            </w:r>
          </w:p>
        </w:tc>
        <w:tc>
          <w:tcPr>
            <w:tcW w:w="1119" w:type="dxa"/>
            <w:shd w:val="clear" w:color="auto" w:fill="auto"/>
            <w:noWrap/>
          </w:tcPr>
          <w:p w14:paraId="5BB16519" w14:textId="1C6A4615" w:rsidR="000A0789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44</w:t>
            </w:r>
          </w:p>
        </w:tc>
        <w:tc>
          <w:tcPr>
            <w:tcW w:w="1119" w:type="dxa"/>
            <w:shd w:val="clear" w:color="auto" w:fill="auto"/>
          </w:tcPr>
          <w:p w14:paraId="3F805037" w14:textId="4BAB8B83" w:rsidR="000A0789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46</w:t>
            </w:r>
          </w:p>
        </w:tc>
      </w:tr>
      <w:tr w:rsidR="008B405E" w:rsidRPr="004467CE" w14:paraId="41B688FF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</w:tcPr>
          <w:p w14:paraId="64F3FB80" w14:textId="2AE44B88" w:rsidR="008B405E" w:rsidRPr="001B2610" w:rsidRDefault="006454A0" w:rsidP="00CD3CA0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Povećanje broja </w:t>
            </w:r>
            <w:r w:rsidR="00710B9E" w:rsidRPr="001B2610">
              <w:rPr>
                <w:rFonts w:ascii="Times New Roman" w:eastAsia="Times New Roman" w:hAnsi="Times New Roman" w:cs="Times New Roman"/>
                <w:sz w:val="16"/>
                <w:szCs w:val="18"/>
              </w:rPr>
              <w:t>sudjelovanja u dolaznoj i odlaznoj mobilnosti</w:t>
            </w:r>
          </w:p>
        </w:tc>
        <w:tc>
          <w:tcPr>
            <w:tcW w:w="1560" w:type="dxa"/>
            <w:shd w:val="clear" w:color="auto" w:fill="auto"/>
            <w:noWrap/>
          </w:tcPr>
          <w:p w14:paraId="7F045408" w14:textId="2B383FBD" w:rsidR="008B405E" w:rsidRPr="001B2610" w:rsidRDefault="006454A0" w:rsidP="00CD3CA0">
            <w:pPr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Broj </w:t>
            </w:r>
            <w:r w:rsidR="00710B9E" w:rsidRPr="001B2610">
              <w:rPr>
                <w:rFonts w:ascii="Times New Roman" w:eastAsia="Times New Roman" w:hAnsi="Times New Roman" w:cs="Times New Roman"/>
                <w:sz w:val="16"/>
                <w:szCs w:val="18"/>
              </w:rPr>
              <w:t>sudjelovanja u dolaznoj i odlaznoj mobilnosti</w:t>
            </w:r>
          </w:p>
        </w:tc>
        <w:tc>
          <w:tcPr>
            <w:tcW w:w="1118" w:type="dxa"/>
            <w:shd w:val="clear" w:color="auto" w:fill="auto"/>
            <w:noWrap/>
          </w:tcPr>
          <w:p w14:paraId="063DC6C8" w14:textId="77777777" w:rsidR="008B405E" w:rsidRPr="001B2610" w:rsidRDefault="00710B9E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Broj</w:t>
            </w:r>
          </w:p>
          <w:p w14:paraId="6418C4BE" w14:textId="02F63CE3" w:rsidR="00710B9E" w:rsidRPr="001B2610" w:rsidRDefault="00710B9E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</w:tcPr>
          <w:p w14:paraId="262E3A8E" w14:textId="77777777" w:rsidR="0011476D" w:rsidRPr="001B2610" w:rsidRDefault="00710B9E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2</w:t>
            </w:r>
          </w:p>
          <w:p w14:paraId="2540A762" w14:textId="04E2BB6B" w:rsidR="00710B9E" w:rsidRPr="001B2610" w:rsidRDefault="00710B9E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(2022.)</w:t>
            </w:r>
          </w:p>
        </w:tc>
        <w:tc>
          <w:tcPr>
            <w:tcW w:w="1119" w:type="dxa"/>
            <w:shd w:val="clear" w:color="auto" w:fill="auto"/>
            <w:noWrap/>
          </w:tcPr>
          <w:p w14:paraId="3C6225D5" w14:textId="6A1E48AB" w:rsidR="008B405E" w:rsidRPr="001B2610" w:rsidRDefault="00710B9E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Institut – godišnji izvještaj o radu</w:t>
            </w:r>
          </w:p>
        </w:tc>
        <w:tc>
          <w:tcPr>
            <w:tcW w:w="1119" w:type="dxa"/>
            <w:shd w:val="clear" w:color="auto" w:fill="auto"/>
            <w:noWrap/>
          </w:tcPr>
          <w:p w14:paraId="1C521DF2" w14:textId="0F13F796" w:rsidR="008B405E" w:rsidRPr="001B2610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19" w:type="dxa"/>
            <w:shd w:val="clear" w:color="auto" w:fill="auto"/>
            <w:noWrap/>
          </w:tcPr>
          <w:p w14:paraId="15537DEC" w14:textId="0C0DE48D" w:rsidR="008B405E" w:rsidRPr="001B2610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2</w:t>
            </w:r>
          </w:p>
        </w:tc>
        <w:tc>
          <w:tcPr>
            <w:tcW w:w="1119" w:type="dxa"/>
            <w:shd w:val="clear" w:color="auto" w:fill="auto"/>
          </w:tcPr>
          <w:p w14:paraId="3F127245" w14:textId="0C05AB66" w:rsidR="008B405E" w:rsidRPr="001B2610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3</w:t>
            </w:r>
          </w:p>
        </w:tc>
      </w:tr>
      <w:tr w:rsidR="006454A0" w:rsidRPr="004467CE" w14:paraId="2365D527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</w:tcPr>
          <w:p w14:paraId="5A5091FC" w14:textId="566FFFDB" w:rsidR="006454A0" w:rsidRPr="001B2610" w:rsidRDefault="006454A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Povećanje broja edukacija i usavršavanja stručnih službi</w:t>
            </w:r>
          </w:p>
        </w:tc>
        <w:tc>
          <w:tcPr>
            <w:tcW w:w="1560" w:type="dxa"/>
            <w:shd w:val="clear" w:color="auto" w:fill="auto"/>
            <w:noWrap/>
          </w:tcPr>
          <w:p w14:paraId="5FFD5E3E" w14:textId="21B75F7C" w:rsidR="006454A0" w:rsidRPr="001B2610" w:rsidRDefault="006454A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Broj sudjelovanja zaposlenika stručnih službi na edukacijama i usavršavanjima </w:t>
            </w:r>
          </w:p>
        </w:tc>
        <w:tc>
          <w:tcPr>
            <w:tcW w:w="1118" w:type="dxa"/>
            <w:shd w:val="clear" w:color="auto" w:fill="auto"/>
            <w:noWrap/>
          </w:tcPr>
          <w:p w14:paraId="12D6D33E" w14:textId="77777777" w:rsidR="006454A0" w:rsidRPr="001B2610" w:rsidRDefault="006454A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Broj</w:t>
            </w:r>
          </w:p>
          <w:p w14:paraId="1615475E" w14:textId="5672B808" w:rsidR="006454A0" w:rsidRPr="001B2610" w:rsidRDefault="006454A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</w:tcPr>
          <w:p w14:paraId="0A0AE1D4" w14:textId="77777777" w:rsidR="006454A0" w:rsidRPr="001B2610" w:rsidRDefault="006454A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26</w:t>
            </w:r>
          </w:p>
          <w:p w14:paraId="495FA8A1" w14:textId="5E862A1A" w:rsidR="006454A0" w:rsidRPr="001B2610" w:rsidRDefault="006454A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(2022.)</w:t>
            </w:r>
          </w:p>
        </w:tc>
        <w:tc>
          <w:tcPr>
            <w:tcW w:w="1119" w:type="dxa"/>
            <w:shd w:val="clear" w:color="auto" w:fill="auto"/>
            <w:noWrap/>
          </w:tcPr>
          <w:p w14:paraId="75D50D44" w14:textId="0CD09A2B" w:rsidR="006454A0" w:rsidRPr="001B2610" w:rsidRDefault="006454A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Institut</w:t>
            </w:r>
            <w:r w:rsidR="00710B9E"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 xml:space="preserve"> – godišnji izvještaj o radu</w:t>
            </w:r>
          </w:p>
        </w:tc>
        <w:tc>
          <w:tcPr>
            <w:tcW w:w="1119" w:type="dxa"/>
            <w:shd w:val="clear" w:color="auto" w:fill="auto"/>
            <w:noWrap/>
          </w:tcPr>
          <w:p w14:paraId="096ACF4F" w14:textId="52460C7B" w:rsidR="006454A0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30</w:t>
            </w:r>
          </w:p>
        </w:tc>
        <w:tc>
          <w:tcPr>
            <w:tcW w:w="1119" w:type="dxa"/>
            <w:shd w:val="clear" w:color="auto" w:fill="auto"/>
            <w:noWrap/>
          </w:tcPr>
          <w:p w14:paraId="619FC8DD" w14:textId="5E51571E" w:rsidR="006454A0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27</w:t>
            </w:r>
          </w:p>
        </w:tc>
        <w:tc>
          <w:tcPr>
            <w:tcW w:w="1119" w:type="dxa"/>
            <w:shd w:val="clear" w:color="auto" w:fill="auto"/>
          </w:tcPr>
          <w:p w14:paraId="49E9A4D8" w14:textId="095BF74A" w:rsidR="006454A0" w:rsidRPr="00B86E78" w:rsidRDefault="001B261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29</w:t>
            </w:r>
          </w:p>
        </w:tc>
      </w:tr>
      <w:tr w:rsidR="009570F5" w:rsidRPr="004467CE" w14:paraId="1FABF5CC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14:paraId="225E5094" w14:textId="76A68505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Povećanje broja aktivnosti s ciljem popularizacije znanosti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</w:tcPr>
          <w:p w14:paraId="17461369" w14:textId="6D4A0075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Broj aktivnosti s ciljem popularizacije znanosti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4B007B38" w14:textId="77777777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Broj pojavljivanja priloga istraživača u medijima </w:t>
            </w:r>
          </w:p>
          <w:p w14:paraId="76636E38" w14:textId="6C83F0C7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1CB8EF8A" w14:textId="77777777" w:rsidR="009570F5" w:rsidRPr="001B2610" w:rsidRDefault="009570F5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762</w:t>
            </w:r>
          </w:p>
          <w:p w14:paraId="5F885AB2" w14:textId="7DCA54AD" w:rsidR="009570F5" w:rsidRPr="001B2610" w:rsidRDefault="009570F5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(2022.)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0D0C3E5A" w14:textId="561F5EFE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Mediji (TV, radio, novinski članci, društvene mreže)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29C0B473" w14:textId="032C2716" w:rsidR="009570F5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500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60D76AA1" w14:textId="7CB28BE6" w:rsidR="009570F5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550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3228DF0" w14:textId="17AD4E71" w:rsidR="009570F5" w:rsidRPr="00B86E78" w:rsidRDefault="001B261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500</w:t>
            </w:r>
          </w:p>
        </w:tc>
      </w:tr>
      <w:tr w:rsidR="009570F5" w:rsidRPr="004467CE" w14:paraId="6D94B193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vMerge/>
            <w:shd w:val="clear" w:color="auto" w:fill="auto"/>
            <w:vAlign w:val="center"/>
          </w:tcPr>
          <w:p w14:paraId="723C14C6" w14:textId="77777777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14:paraId="05F5E07A" w14:textId="77777777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16F57069" w14:textId="77777777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Broj održanih javnih rasprava, popularizacijskih aktivnosti, radionica</w:t>
            </w:r>
          </w:p>
          <w:p w14:paraId="44B15534" w14:textId="60E63100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(godišnje)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79F2CA6D" w14:textId="77777777" w:rsidR="009570F5" w:rsidRPr="001B2610" w:rsidRDefault="009570F5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  <w:p w14:paraId="621E7E29" w14:textId="724CBA58" w:rsidR="009570F5" w:rsidRPr="001B2610" w:rsidRDefault="009570F5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(2022.)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46DAD5AB" w14:textId="0495C0D4" w:rsidR="009570F5" w:rsidRPr="001B2610" w:rsidRDefault="009570F5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Institut – godišnji izvještaj o radu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5443D4BD" w14:textId="18C10BE3" w:rsidR="009570F5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11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49454BC6" w14:textId="162074EA" w:rsidR="009570F5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12</w:t>
            </w:r>
          </w:p>
        </w:tc>
        <w:tc>
          <w:tcPr>
            <w:tcW w:w="1119" w:type="dxa"/>
            <w:vAlign w:val="center"/>
          </w:tcPr>
          <w:p w14:paraId="0278C11A" w14:textId="727FFC6D" w:rsidR="009570F5" w:rsidRPr="00B86E78" w:rsidRDefault="001B261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11</w:t>
            </w:r>
          </w:p>
        </w:tc>
      </w:tr>
      <w:tr w:rsidR="0099553C" w:rsidRPr="004467CE" w14:paraId="5079A2E8" w14:textId="77777777" w:rsidTr="00DA766D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1129" w:type="dxa"/>
            <w:shd w:val="clear" w:color="auto" w:fill="auto"/>
            <w:vAlign w:val="center"/>
          </w:tcPr>
          <w:p w14:paraId="0594CFBE" w14:textId="38E162A1" w:rsidR="0099553C" w:rsidRPr="001B2610" w:rsidRDefault="0099553C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Povećanje broja internih edukativnih seminara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8F26365" w14:textId="2F925F63" w:rsidR="0099553C" w:rsidRPr="001B2610" w:rsidRDefault="0099553C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Broj internih edukativnih seminara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45DBFC72" w14:textId="5169CB52" w:rsidR="0099553C" w:rsidRPr="001B2610" w:rsidRDefault="0099553C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Broj seminara (godišnje)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765C8184" w14:textId="7ED7C915" w:rsidR="0099553C" w:rsidRPr="001B2610" w:rsidRDefault="002157C5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  <w:p w14:paraId="23708AB1" w14:textId="299DB39F" w:rsidR="0099553C" w:rsidRPr="001B2610" w:rsidRDefault="0099553C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r w:rsidR="00DD7976"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2022.</w:t>
            </w: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2F8563A5" w14:textId="14F56262" w:rsidR="0099553C" w:rsidRPr="001B2610" w:rsidRDefault="0099553C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6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Institut 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2B4C8563" w14:textId="3303C9D3" w:rsidR="0099553C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19" w:type="dxa"/>
            <w:shd w:val="clear" w:color="auto" w:fill="auto"/>
            <w:noWrap/>
            <w:vAlign w:val="center"/>
          </w:tcPr>
          <w:p w14:paraId="31A5F5A4" w14:textId="3362709B" w:rsidR="0099553C" w:rsidRPr="00B86E78" w:rsidRDefault="001B2610" w:rsidP="00CD3CA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7</w:t>
            </w:r>
          </w:p>
        </w:tc>
        <w:tc>
          <w:tcPr>
            <w:tcW w:w="1119" w:type="dxa"/>
            <w:vAlign w:val="center"/>
          </w:tcPr>
          <w:p w14:paraId="46CD63C7" w14:textId="6286B2B0" w:rsidR="0099553C" w:rsidRPr="00B86E78" w:rsidRDefault="001B2610" w:rsidP="00CD3CA0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</w:rPr>
              <w:t>5</w:t>
            </w:r>
          </w:p>
        </w:tc>
      </w:tr>
    </w:tbl>
    <w:p w14:paraId="5BE61AF6" w14:textId="00FB8C5C" w:rsidR="000A0789" w:rsidRDefault="001B2610" w:rsidP="00CD3CA0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Napomena: Projekcije za 2024., 2025. i 2026. godinu donesene su temeljem konzervativnih procjena. </w:t>
      </w:r>
    </w:p>
    <w:p w14:paraId="60F1AF2D" w14:textId="77777777" w:rsidR="00DA766D" w:rsidRDefault="00DA766D" w:rsidP="00CD3CA0">
      <w:pPr>
        <w:spacing w:line="276" w:lineRule="auto"/>
        <w:rPr>
          <w:rFonts w:ascii="Times New Roman" w:hAnsi="Times New Roman" w:cs="Times New Roman"/>
        </w:rPr>
      </w:pPr>
    </w:p>
    <w:p w14:paraId="4A97BFCE" w14:textId="77777777" w:rsidR="00B46A3A" w:rsidRDefault="00B46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08877BE" w14:textId="251FA8B4" w:rsidR="00542A7D" w:rsidRPr="00416374" w:rsidRDefault="00542A7D" w:rsidP="00CD3CA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16374">
        <w:rPr>
          <w:rFonts w:ascii="Times New Roman" w:hAnsi="Times New Roman" w:cs="Times New Roman"/>
          <w:sz w:val="24"/>
          <w:szCs w:val="24"/>
        </w:rPr>
        <w:lastRenderedPageBreak/>
        <w:t>Institucijski ciljevi postižu se provedbom sljedećih projekata financiranih putem Programskih ugovora:</w:t>
      </w:r>
    </w:p>
    <w:p w14:paraId="69E10027" w14:textId="2891E236" w:rsidR="00542A7D" w:rsidRPr="00416374" w:rsidRDefault="00542A7D" w:rsidP="00CD3CA0">
      <w:pPr>
        <w:pStyle w:val="ListParagraph"/>
        <w:numPr>
          <w:ilvl w:val="0"/>
          <w:numId w:val="19"/>
        </w:numPr>
        <w:spacing w:line="276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416374">
        <w:rPr>
          <w:rFonts w:ascii="Times New Roman" w:hAnsi="Times New Roman" w:cs="Times New Roman"/>
          <w:b/>
          <w:bCs/>
          <w:sz w:val="24"/>
          <w:szCs w:val="24"/>
        </w:rPr>
        <w:t>Programski projekti</w:t>
      </w:r>
    </w:p>
    <w:p w14:paraId="7FA003BC" w14:textId="77777777" w:rsidR="00542A7D" w:rsidRPr="00416374" w:rsidRDefault="00542A7D" w:rsidP="00CD3CA0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2947364" w14:textId="711EF67D" w:rsidR="00542A7D" w:rsidRPr="00416374" w:rsidRDefault="00542A7D" w:rsidP="00CD3CA0">
      <w:pPr>
        <w:pStyle w:val="ListParagraph"/>
        <w:numPr>
          <w:ilvl w:val="1"/>
          <w:numId w:val="21"/>
        </w:numPr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 xml:space="preserve">International </w:t>
      </w:r>
      <w:proofErr w:type="spellStart"/>
      <w:r w:rsidRPr="00416374">
        <w:rPr>
          <w:rFonts w:ascii="Times New Roman" w:hAnsi="Times New Roman" w:cs="Times New Roman"/>
          <w:i/>
          <w:iCs/>
          <w:sz w:val="24"/>
          <w:szCs w:val="24"/>
        </w:rPr>
        <w:t>Social</w:t>
      </w:r>
      <w:proofErr w:type="spellEnd"/>
      <w:r w:rsidRPr="004163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6374">
        <w:rPr>
          <w:rFonts w:ascii="Times New Roman" w:hAnsi="Times New Roman" w:cs="Times New Roman"/>
          <w:i/>
          <w:iCs/>
          <w:sz w:val="24"/>
          <w:szCs w:val="24"/>
        </w:rPr>
        <w:t>Survey</w:t>
      </w:r>
      <w:proofErr w:type="spellEnd"/>
      <w:r w:rsidRPr="004163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16374">
        <w:rPr>
          <w:rFonts w:ascii="Times New Roman" w:hAnsi="Times New Roman" w:cs="Times New Roman"/>
          <w:i/>
          <w:iCs/>
          <w:sz w:val="24"/>
          <w:szCs w:val="24"/>
        </w:rPr>
        <w:t>Programme</w:t>
      </w:r>
      <w:proofErr w:type="spellEnd"/>
      <w:r w:rsidRPr="00416374">
        <w:rPr>
          <w:rFonts w:ascii="Times New Roman" w:hAnsi="Times New Roman" w:cs="Times New Roman"/>
          <w:i/>
          <w:iCs/>
          <w:sz w:val="24"/>
          <w:szCs w:val="24"/>
        </w:rPr>
        <w:t xml:space="preserve"> – ISSP</w:t>
      </w:r>
    </w:p>
    <w:p w14:paraId="3FE88D96" w14:textId="577D9DE8" w:rsidR="00542A7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Razdoblje provedbe: od 2005. – kontinuirano</w:t>
      </w:r>
    </w:p>
    <w:p w14:paraId="091FC1B9" w14:textId="77777777" w:rsidR="00542A7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58A52717" w14:textId="594F0DAD" w:rsidR="00542A7D" w:rsidRPr="00416374" w:rsidRDefault="00542A7D" w:rsidP="00CD3CA0">
      <w:pPr>
        <w:pStyle w:val="ListParagraph"/>
        <w:numPr>
          <w:ilvl w:val="1"/>
          <w:numId w:val="21"/>
        </w:numPr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Istraživanje političke pismenosti učenika završnih razreda srednjih škola</w:t>
      </w:r>
    </w:p>
    <w:p w14:paraId="4644B43D" w14:textId="77777777" w:rsidR="00DA766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Razdoblje provedbe: 1.1.2012. – kontinuirano</w:t>
      </w:r>
    </w:p>
    <w:p w14:paraId="6B5DD654" w14:textId="77777777" w:rsidR="00DA766D" w:rsidRPr="00416374" w:rsidRDefault="00DA766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6E76F05D" w14:textId="00553703" w:rsidR="00542A7D" w:rsidRPr="00416374" w:rsidRDefault="00542A7D" w:rsidP="00CD3CA0">
      <w:pPr>
        <w:pStyle w:val="ListParagraph"/>
        <w:numPr>
          <w:ilvl w:val="1"/>
          <w:numId w:val="21"/>
        </w:numPr>
        <w:tabs>
          <w:tab w:val="left" w:pos="567"/>
        </w:tabs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Utjecaj pandemije COVID-19 na turizam: primjeri odabranih srednjodalmatinskih otoka Hvara i Brača</w:t>
      </w:r>
    </w:p>
    <w:p w14:paraId="4998088E" w14:textId="03BBEF31" w:rsidR="00542A7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Razdoblje provedbe: 1.4.2022. – 1.4.2024.</w:t>
      </w:r>
    </w:p>
    <w:p w14:paraId="5BD3E000" w14:textId="77777777" w:rsidR="00542A7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3BCB1065" w14:textId="6BACC0AA" w:rsidR="00542A7D" w:rsidRPr="00416374" w:rsidRDefault="00542A7D" w:rsidP="00CD3CA0">
      <w:pPr>
        <w:pStyle w:val="ListParagraph"/>
        <w:numPr>
          <w:ilvl w:val="1"/>
          <w:numId w:val="22"/>
        </w:numPr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Procjena institucionalnih i strukturnih odrednica prijave i uspjeha na državnoj maturi</w:t>
      </w:r>
    </w:p>
    <w:p w14:paraId="3F380963" w14:textId="6A45387D" w:rsidR="00542A7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Razdoblje provedbe: 1.2.2021. – kontinuirano</w:t>
      </w:r>
    </w:p>
    <w:p w14:paraId="7C95011A" w14:textId="77777777" w:rsidR="00542A7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13FD7BC2" w14:textId="49FD417F" w:rsidR="00542A7D" w:rsidRPr="00416374" w:rsidRDefault="00542A7D" w:rsidP="00CD3CA0">
      <w:pPr>
        <w:pStyle w:val="ListParagraph"/>
        <w:numPr>
          <w:ilvl w:val="1"/>
          <w:numId w:val="22"/>
        </w:numPr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Stavovi o nejednakosti i nepravdi u Hrvatskoj</w:t>
      </w:r>
    </w:p>
    <w:p w14:paraId="22CCCC7E" w14:textId="77777777" w:rsidR="00542A7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Razdoblje provedbe: 1.2.2022. – kontinuirano</w:t>
      </w:r>
    </w:p>
    <w:p w14:paraId="6248F110" w14:textId="77777777" w:rsidR="00542A7D" w:rsidRPr="00416374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676F23AA" w14:textId="5DF5FABD" w:rsidR="00542A7D" w:rsidRPr="00416374" w:rsidRDefault="00542A7D" w:rsidP="00CD3CA0">
      <w:pPr>
        <w:pStyle w:val="ListParagraph"/>
        <w:numPr>
          <w:ilvl w:val="1"/>
          <w:numId w:val="22"/>
        </w:numPr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>Škola i zajednica</w:t>
      </w:r>
    </w:p>
    <w:p w14:paraId="484D3600" w14:textId="2E7E4485" w:rsidR="00DA766D" w:rsidRDefault="00542A7D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  <w:r w:rsidRPr="00416374">
        <w:rPr>
          <w:rFonts w:ascii="Times New Roman" w:hAnsi="Times New Roman" w:cs="Times New Roman"/>
          <w:i/>
          <w:iCs/>
          <w:sz w:val="24"/>
          <w:szCs w:val="24"/>
        </w:rPr>
        <w:t xml:space="preserve">Razdoblje provedbe: 1.1.2022. </w:t>
      </w:r>
      <w:r w:rsidR="00B46A3A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416374">
        <w:rPr>
          <w:rFonts w:ascii="Times New Roman" w:hAnsi="Times New Roman" w:cs="Times New Roman"/>
          <w:i/>
          <w:iCs/>
          <w:sz w:val="24"/>
          <w:szCs w:val="24"/>
        </w:rPr>
        <w:t xml:space="preserve"> kontinuirano</w:t>
      </w:r>
    </w:p>
    <w:p w14:paraId="3D1770B1" w14:textId="71594959" w:rsidR="004A491A" w:rsidRDefault="004A491A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095FD086" w14:textId="77777777" w:rsidR="004A491A" w:rsidRDefault="004A491A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6900D28E" w14:textId="6FFF13D8" w:rsidR="00B46A3A" w:rsidRDefault="00B46A3A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27A92BAC" w14:textId="086A564B" w:rsidR="00B46A3A" w:rsidRDefault="00B46A3A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727D396F" w14:textId="77777777" w:rsidR="00B46A3A" w:rsidRPr="00CD3CA0" w:rsidRDefault="00B46A3A" w:rsidP="00CD3CA0">
      <w:pPr>
        <w:pStyle w:val="ListParagraph"/>
        <w:spacing w:line="276" w:lineRule="auto"/>
        <w:ind w:left="567" w:hanging="567"/>
        <w:rPr>
          <w:rFonts w:ascii="Times New Roman" w:hAnsi="Times New Roman" w:cs="Times New Roman"/>
          <w:i/>
          <w:iCs/>
          <w:sz w:val="24"/>
          <w:szCs w:val="24"/>
        </w:rPr>
      </w:pPr>
    </w:p>
    <w:p w14:paraId="50101B0D" w14:textId="3F955C5C" w:rsidR="000A0789" w:rsidRPr="00DA766D" w:rsidRDefault="004A491A" w:rsidP="00CD3CA0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tabs>
          <w:tab w:val="right" w:pos="9072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91A">
        <w:rPr>
          <w:rFonts w:ascii="Times New Roman" w:hAnsi="Times New Roman" w:cs="Times New Roman"/>
          <w:b/>
          <w:sz w:val="24"/>
          <w:szCs w:val="24"/>
        </w:rPr>
        <w:t>A622153</w:t>
      </w:r>
      <w:r w:rsidR="000A0789" w:rsidRPr="00F5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873">
        <w:rPr>
          <w:rFonts w:ascii="Times New Roman" w:hAnsi="Times New Roman" w:cs="Times New Roman"/>
          <w:b/>
          <w:sz w:val="24"/>
          <w:szCs w:val="24"/>
        </w:rPr>
        <w:t>SAMOSTALNA DJELATNOST JAVNIH INSTITUTA - IZ EVIDENCIJSKIH PRIHODA</w:t>
      </w:r>
      <w:r w:rsidR="000A0789" w:rsidRPr="00F57E66">
        <w:rPr>
          <w:rFonts w:ascii="Times New Roman" w:hAnsi="Times New Roman" w:cs="Times New Roman"/>
          <w:b/>
          <w:sz w:val="24"/>
          <w:szCs w:val="24"/>
        </w:rPr>
        <w:tab/>
      </w:r>
    </w:p>
    <w:p w14:paraId="14EA908D" w14:textId="77777777" w:rsidR="000A0789" w:rsidRPr="00F57E66" w:rsidRDefault="000A0789" w:rsidP="00CD3CA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>Zakonske i druge pravne osnove</w:t>
      </w:r>
    </w:p>
    <w:p w14:paraId="05B82800" w14:textId="71CA053B" w:rsidR="000A0789" w:rsidRPr="00CE13D9" w:rsidRDefault="000A0789" w:rsidP="00CD3CA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4583">
        <w:rPr>
          <w:rFonts w:ascii="Times New Roman" w:hAnsi="Times New Roman"/>
          <w:sz w:val="24"/>
          <w:szCs w:val="24"/>
        </w:rPr>
        <w:t>Zakon</w:t>
      </w:r>
      <w:proofErr w:type="spellEnd"/>
      <w:r w:rsidRPr="000945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4583">
        <w:rPr>
          <w:rFonts w:ascii="Times New Roman" w:hAnsi="Times New Roman"/>
          <w:sz w:val="24"/>
          <w:szCs w:val="24"/>
        </w:rPr>
        <w:t>visokom</w:t>
      </w:r>
      <w:proofErr w:type="spellEnd"/>
      <w:r w:rsidRPr="000945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4583">
        <w:rPr>
          <w:rFonts w:ascii="Times New Roman" w:hAnsi="Times New Roman"/>
          <w:sz w:val="24"/>
          <w:szCs w:val="24"/>
        </w:rPr>
        <w:t>obrazovanju</w:t>
      </w:r>
      <w:proofErr w:type="spellEnd"/>
      <w:r w:rsidRPr="000945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4583">
        <w:rPr>
          <w:rFonts w:ascii="Times New Roman" w:hAnsi="Times New Roman"/>
          <w:sz w:val="24"/>
          <w:szCs w:val="24"/>
        </w:rPr>
        <w:t>i</w:t>
      </w:r>
      <w:proofErr w:type="spellEnd"/>
      <w:r w:rsidRPr="000945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4583">
        <w:rPr>
          <w:rFonts w:ascii="Times New Roman" w:hAnsi="Times New Roman"/>
          <w:sz w:val="24"/>
          <w:szCs w:val="24"/>
        </w:rPr>
        <w:t>znanstvenoj</w:t>
      </w:r>
      <w:proofErr w:type="spellEnd"/>
      <w:r w:rsidRPr="000945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4583">
        <w:rPr>
          <w:rFonts w:ascii="Times New Roman" w:hAnsi="Times New Roman"/>
          <w:sz w:val="24"/>
          <w:szCs w:val="24"/>
        </w:rPr>
        <w:t>djelatnosti</w:t>
      </w:r>
      <w:proofErr w:type="spellEnd"/>
      <w:r w:rsidR="00CE13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E13D9">
        <w:rPr>
          <w:rFonts w:ascii="Times New Roman" w:hAnsi="Times New Roman"/>
          <w:sz w:val="24"/>
          <w:szCs w:val="24"/>
        </w:rPr>
        <w:t>čl</w:t>
      </w:r>
      <w:proofErr w:type="spellEnd"/>
      <w:r w:rsidR="00CE13D9">
        <w:rPr>
          <w:rFonts w:ascii="Times New Roman" w:hAnsi="Times New Roman"/>
          <w:sz w:val="24"/>
          <w:szCs w:val="24"/>
        </w:rPr>
        <w:t xml:space="preserve">. 31. </w:t>
      </w:r>
    </w:p>
    <w:p w14:paraId="04E33303" w14:textId="77777777" w:rsidR="000A0789" w:rsidRPr="00F57E66" w:rsidRDefault="000A0789" w:rsidP="00CD3CA0">
      <w:pPr>
        <w:pStyle w:val="Normal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Zakon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F57E66">
        <w:rPr>
          <w:rFonts w:ascii="Times New Roman" w:hAnsi="Times New Roman"/>
          <w:sz w:val="24"/>
          <w:szCs w:val="24"/>
        </w:rPr>
        <w:t>ustanovama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</w:p>
    <w:p w14:paraId="1B28B79C" w14:textId="77777777" w:rsidR="000A0789" w:rsidRPr="00F57E66" w:rsidRDefault="000A0789" w:rsidP="00CD3CA0">
      <w:pPr>
        <w:pStyle w:val="Normal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Statut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Instituta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F57E66">
        <w:rPr>
          <w:rFonts w:ascii="Times New Roman" w:hAnsi="Times New Roman"/>
          <w:sz w:val="24"/>
          <w:szCs w:val="24"/>
        </w:rPr>
        <w:t>društvena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7E66">
        <w:rPr>
          <w:rFonts w:ascii="Times New Roman" w:hAnsi="Times New Roman"/>
          <w:sz w:val="24"/>
          <w:szCs w:val="24"/>
        </w:rPr>
        <w:t>istraživanja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57E66">
        <w:rPr>
          <w:rFonts w:ascii="Times New Roman" w:hAnsi="Times New Roman"/>
          <w:sz w:val="24"/>
          <w:szCs w:val="24"/>
        </w:rPr>
        <w:t>Zagrebu</w:t>
      </w:r>
      <w:proofErr w:type="spellEnd"/>
    </w:p>
    <w:p w14:paraId="04189406" w14:textId="13135784" w:rsidR="000A0789" w:rsidRPr="008C6D46" w:rsidRDefault="000A0789" w:rsidP="00CD3CA0">
      <w:pPr>
        <w:pStyle w:val="Normal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7E66">
        <w:rPr>
          <w:rFonts w:ascii="Times New Roman" w:hAnsi="Times New Roman"/>
          <w:sz w:val="24"/>
          <w:szCs w:val="24"/>
        </w:rPr>
        <w:t>Strategija</w:t>
      </w:r>
      <w:proofErr w:type="spellEnd"/>
      <w:r w:rsidRPr="00F57E66">
        <w:rPr>
          <w:rFonts w:ascii="Times New Roman" w:hAnsi="Times New Roman"/>
          <w:sz w:val="24"/>
          <w:szCs w:val="24"/>
        </w:rPr>
        <w:t xml:space="preserve"> </w:t>
      </w:r>
      <w:r w:rsidRPr="00F57E66">
        <w:rPr>
          <w:rFonts w:ascii="Times New Roman" w:hAnsi="Times New Roman"/>
          <w:sz w:val="24"/>
          <w:szCs w:val="24"/>
          <w:lang w:val="hr-HR"/>
        </w:rPr>
        <w:t>Instituta za društvena istraživanja u Zagrebu za razdoblje 2019.-2028.</w:t>
      </w:r>
    </w:p>
    <w:p w14:paraId="6811147B" w14:textId="07D69C5C" w:rsidR="008C6D46" w:rsidRDefault="008C6D46" w:rsidP="008C6D46">
      <w:pPr>
        <w:pStyle w:val="NormalWeb"/>
        <w:spacing w:before="0" w:beforeAutospacing="0" w:after="0" w:afterAutospacing="0" w:line="276" w:lineRule="auto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3AB52ACF" w14:textId="77777777" w:rsidR="008C6D46" w:rsidRPr="00F916F8" w:rsidRDefault="008C6D46" w:rsidP="008C6D46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6F8">
        <w:rPr>
          <w:rFonts w:ascii="Times New Roman" w:hAnsi="Times New Roman" w:cs="Times New Roman"/>
          <w:sz w:val="24"/>
          <w:szCs w:val="24"/>
        </w:rPr>
        <w:t xml:space="preserve">Program Obzor Europa (2021.-2027.) </w:t>
      </w:r>
    </w:p>
    <w:p w14:paraId="533821B6" w14:textId="77777777" w:rsidR="008C6D46" w:rsidRPr="00F916F8" w:rsidRDefault="008C6D46" w:rsidP="008C6D46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6F8">
        <w:rPr>
          <w:rFonts w:ascii="Times New Roman" w:hAnsi="Times New Roman" w:cs="Times New Roman"/>
          <w:sz w:val="24"/>
          <w:szCs w:val="24"/>
        </w:rPr>
        <w:t xml:space="preserve">Uredba (EU) 2021/817 Europskog parlamenta i Vijeća od 20. svibnja 2021. o uspostavi programa Unije za obrazovanje i osposobljavanje, mlade i sport Erasmus+ </w:t>
      </w:r>
    </w:p>
    <w:p w14:paraId="2B722D24" w14:textId="77777777" w:rsidR="008C6D46" w:rsidRPr="00F916F8" w:rsidRDefault="008C6D46" w:rsidP="008C6D46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6F8">
        <w:rPr>
          <w:rFonts w:ascii="Times New Roman" w:hAnsi="Times New Roman" w:cs="Times New Roman"/>
          <w:sz w:val="24"/>
          <w:szCs w:val="24"/>
        </w:rPr>
        <w:t>Uredba (EU) 2021/692 Europskog parlamenta i Vijeća od 28. travnja 2021. o uspostavi programa Građani, jednakost, prava i vrijednosti</w:t>
      </w:r>
    </w:p>
    <w:p w14:paraId="0B79ACFE" w14:textId="1EBC3CF7" w:rsidR="002D2BF4" w:rsidRPr="008C6D46" w:rsidRDefault="008C6D46" w:rsidP="008C6D4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003"/>
        <w:gridCol w:w="1503"/>
        <w:gridCol w:w="1517"/>
        <w:gridCol w:w="1517"/>
        <w:gridCol w:w="1517"/>
        <w:gridCol w:w="1294"/>
      </w:tblGrid>
      <w:tr w:rsidR="002D2BF4" w:rsidRPr="00495264" w14:paraId="13F7E978" w14:textId="77777777" w:rsidTr="00DA766D">
        <w:trPr>
          <w:trHeight w:val="536"/>
        </w:trPr>
        <w:tc>
          <w:tcPr>
            <w:tcW w:w="1598" w:type="dxa"/>
            <w:shd w:val="clear" w:color="auto" w:fill="D0CECE" w:themeFill="background2" w:themeFillShade="E6"/>
          </w:tcPr>
          <w:p w14:paraId="1704D9D8" w14:textId="77777777" w:rsidR="002D2BF4" w:rsidRPr="00495264" w:rsidRDefault="002D2BF4" w:rsidP="00CD3CA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3025FFF9" w14:textId="77777777" w:rsidR="002D2BF4" w:rsidRPr="00495264" w:rsidRDefault="002D2BF4" w:rsidP="00CD3CA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  <w:shd w:val="clear" w:color="auto" w:fill="D0CECE" w:themeFill="background2" w:themeFillShade="E6"/>
            <w:vAlign w:val="center"/>
          </w:tcPr>
          <w:p w14:paraId="3CD9B864" w14:textId="77777777" w:rsidR="002D2BF4" w:rsidRPr="00495264" w:rsidRDefault="002D2BF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>Izvršenje 2022.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0783B25E" w14:textId="77777777" w:rsidR="002D2BF4" w:rsidRPr="00495264" w:rsidRDefault="002D2BF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2023</w:t>
            </w:r>
            <w:r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625E720D" w14:textId="77777777" w:rsidR="002D2BF4" w:rsidRPr="00495264" w:rsidRDefault="002D2BF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2024</w:t>
            </w:r>
            <w:r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4" w:type="dxa"/>
            <w:shd w:val="clear" w:color="auto" w:fill="D0CECE" w:themeFill="background2" w:themeFillShade="E6"/>
            <w:vAlign w:val="center"/>
          </w:tcPr>
          <w:p w14:paraId="5C4A3583" w14:textId="77777777" w:rsidR="002D2BF4" w:rsidRPr="00495264" w:rsidRDefault="002D2BF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Plan 2025</w:t>
            </w:r>
            <w:r w:rsidRPr="00495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5" w:type="dxa"/>
            <w:shd w:val="clear" w:color="auto" w:fill="D0CECE" w:themeFill="background2" w:themeFillShade="E6"/>
            <w:vAlign w:val="center"/>
          </w:tcPr>
          <w:p w14:paraId="25F3C5CC" w14:textId="77777777" w:rsidR="002D2BF4" w:rsidRPr="00495264" w:rsidRDefault="002D2BF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95264">
              <w:rPr>
                <w:rFonts w:ascii="Times New Roman" w:hAnsi="Times New Roman" w:cs="Times New Roman"/>
              </w:rPr>
              <w:t xml:space="preserve">Plan 2026. </w:t>
            </w:r>
          </w:p>
        </w:tc>
      </w:tr>
      <w:tr w:rsidR="002D2BF4" w:rsidRPr="00495264" w14:paraId="1B31B43A" w14:textId="77777777" w:rsidTr="00DA766D">
        <w:trPr>
          <w:trHeight w:val="1323"/>
        </w:trPr>
        <w:tc>
          <w:tcPr>
            <w:tcW w:w="1598" w:type="dxa"/>
          </w:tcPr>
          <w:p w14:paraId="28C46993" w14:textId="26CF2976" w:rsidR="002D2BF4" w:rsidRPr="00495264" w:rsidRDefault="004A491A" w:rsidP="004A49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A491A">
              <w:rPr>
                <w:rFonts w:ascii="Times New Roman" w:hAnsi="Times New Roman" w:cs="Times New Roman"/>
                <w:sz w:val="24"/>
                <w:szCs w:val="24"/>
              </w:rPr>
              <w:t>A622153</w:t>
            </w:r>
            <w:r>
              <w:t xml:space="preserve"> </w:t>
            </w:r>
            <w:r w:rsidR="007B1873" w:rsidRPr="007B1873">
              <w:rPr>
                <w:rFonts w:ascii="Times New Roman" w:hAnsi="Times New Roman" w:cs="Times New Roman"/>
                <w:sz w:val="24"/>
                <w:szCs w:val="24"/>
              </w:rPr>
              <w:t>SAMOSTALNA DJELATNOST JAVNIH INSTITUTA - IZ EVIDENCIJSKIH PRIHODA</w:t>
            </w:r>
          </w:p>
        </w:tc>
        <w:tc>
          <w:tcPr>
            <w:tcW w:w="1576" w:type="dxa"/>
          </w:tcPr>
          <w:p w14:paraId="12130319" w14:textId="63097ECD" w:rsidR="002D2BF4" w:rsidRPr="00495264" w:rsidRDefault="007B1873" w:rsidP="00CD3CA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412.129</w:t>
            </w:r>
            <w:r w:rsidR="002D2BF4"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604" w:type="dxa"/>
          </w:tcPr>
          <w:p w14:paraId="7E6A8FA0" w14:textId="2ACEC7A4" w:rsidR="002D2BF4" w:rsidRPr="00495264" w:rsidRDefault="007B1873" w:rsidP="00CD3CA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284.019</w:t>
            </w:r>
            <w:r w:rsidR="002D2BF4" w:rsidRPr="00495264">
              <w:rPr>
                <w:rFonts w:ascii="Times New Roman" w:hAnsi="Times New Roman" w:cs="Times New Roman"/>
              </w:rPr>
              <w:t xml:space="preserve"> € </w:t>
            </w:r>
          </w:p>
        </w:tc>
        <w:tc>
          <w:tcPr>
            <w:tcW w:w="1604" w:type="dxa"/>
          </w:tcPr>
          <w:p w14:paraId="5914DA25" w14:textId="231CF8B8" w:rsidR="002D2BF4" w:rsidRPr="00495264" w:rsidRDefault="00A578E6" w:rsidP="00CD3CA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518.469</w:t>
            </w:r>
            <w:r w:rsidR="002D2BF4"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604" w:type="dxa"/>
          </w:tcPr>
          <w:p w14:paraId="1001A260" w14:textId="1E409EA1" w:rsidR="002D2BF4" w:rsidRPr="00495264" w:rsidRDefault="007B1873" w:rsidP="00CD3CA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279.001</w:t>
            </w:r>
            <w:r w:rsidR="002D2BF4"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  <w:tc>
          <w:tcPr>
            <w:tcW w:w="1365" w:type="dxa"/>
          </w:tcPr>
          <w:p w14:paraId="29BEE3B1" w14:textId="6039A391" w:rsidR="002D2BF4" w:rsidRPr="00495264" w:rsidRDefault="002D2BF4" w:rsidP="00CD3CA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98.537</w:t>
            </w:r>
            <w:r w:rsidRPr="00495264">
              <w:rPr>
                <w:rFonts w:ascii="Times New Roman" w:hAnsi="Times New Roman" w:cs="Times New Roman"/>
              </w:rPr>
              <w:t xml:space="preserve"> €</w:t>
            </w:r>
          </w:p>
        </w:tc>
      </w:tr>
    </w:tbl>
    <w:p w14:paraId="42CCDFD4" w14:textId="47DC0851" w:rsidR="009B7FA3" w:rsidRDefault="009B7FA3" w:rsidP="00CD3CA0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 okviru ove aktivnosti planiraju se sredstva koja nisu obuhvaćena ugovorom o programskom financiranju, a financiranju se iz evidencijskih prihoda.</w:t>
      </w:r>
    </w:p>
    <w:p w14:paraId="7768BA98" w14:textId="3BC2BE4B" w:rsidR="000A0789" w:rsidRPr="00F57E66" w:rsidRDefault="000A0789" w:rsidP="00CD3CA0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>Izračun financijskog plana 202</w:t>
      </w:r>
      <w:r w:rsidR="002D2BF4">
        <w:rPr>
          <w:rFonts w:ascii="Times New Roman" w:hAnsi="Times New Roman" w:cs="Times New Roman"/>
          <w:i/>
          <w:sz w:val="24"/>
          <w:szCs w:val="24"/>
        </w:rPr>
        <w:t>4</w:t>
      </w:r>
      <w:r w:rsidRPr="00F57E66">
        <w:rPr>
          <w:rFonts w:ascii="Times New Roman" w:hAnsi="Times New Roman" w:cs="Times New Roman"/>
          <w:i/>
          <w:sz w:val="24"/>
          <w:szCs w:val="24"/>
        </w:rPr>
        <w:t>:</w:t>
      </w:r>
    </w:p>
    <w:p w14:paraId="07CB58FA" w14:textId="4A076F2F" w:rsidR="000A0789" w:rsidRPr="00F57E66" w:rsidRDefault="000A0789" w:rsidP="00CD3CA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 xml:space="preserve">Redovna djelatnost Instituta – </w:t>
      </w:r>
      <w:r w:rsidR="009B7FA3">
        <w:rPr>
          <w:rFonts w:ascii="Times New Roman" w:hAnsi="Times New Roman" w:cs="Times New Roman"/>
        </w:rPr>
        <w:t>492.677</w:t>
      </w:r>
      <w:r w:rsidR="009B7FA3" w:rsidRPr="00495264">
        <w:rPr>
          <w:rFonts w:ascii="Times New Roman" w:hAnsi="Times New Roman" w:cs="Times New Roman"/>
        </w:rPr>
        <w:t xml:space="preserve"> </w:t>
      </w:r>
      <w:r w:rsidR="002D2BF4" w:rsidRPr="00495264">
        <w:rPr>
          <w:rFonts w:ascii="Times New Roman" w:hAnsi="Times New Roman" w:cs="Times New Roman"/>
        </w:rPr>
        <w:t>€</w:t>
      </w:r>
    </w:p>
    <w:p w14:paraId="1F2116C2" w14:textId="77777777" w:rsidR="000A0789" w:rsidRPr="00F57E66" w:rsidRDefault="000A0789" w:rsidP="00CD3CA0">
      <w:pPr>
        <w:pStyle w:val="ListParagraph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72E332" w14:textId="77CA8955" w:rsidR="000A0789" w:rsidRPr="00F57E66" w:rsidRDefault="000A0789" w:rsidP="00CD3CA0">
      <w:pPr>
        <w:pStyle w:val="ListParagraph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7E66">
        <w:rPr>
          <w:rFonts w:ascii="Times New Roman" w:eastAsia="Times New Roman" w:hAnsi="Times New Roman" w:cs="Times New Roman"/>
          <w:sz w:val="24"/>
          <w:szCs w:val="24"/>
        </w:rPr>
        <w:t xml:space="preserve">Dominantni izvor financiranja je </w:t>
      </w:r>
      <w:r w:rsidR="002D2BF4" w:rsidRPr="00C53234">
        <w:rPr>
          <w:rFonts w:ascii="Times New Roman" w:eastAsia="Times New Roman" w:hAnsi="Times New Roman" w:cs="Times New Roman"/>
          <w:i/>
          <w:sz w:val="24"/>
          <w:szCs w:val="24"/>
        </w:rPr>
        <w:t>52 Ostale pomoći</w:t>
      </w:r>
      <w:r w:rsidRPr="00F57E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82E361" w14:textId="77777777" w:rsidR="000A0789" w:rsidRPr="00F57E66" w:rsidRDefault="000A0789" w:rsidP="00CD3CA0">
      <w:pPr>
        <w:pStyle w:val="ListParagraph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A07DC" w14:textId="77777777" w:rsidR="000A0789" w:rsidRPr="00F57E66" w:rsidRDefault="000A0789" w:rsidP="00CD3CA0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7E66">
        <w:rPr>
          <w:rFonts w:ascii="Times New Roman" w:hAnsi="Times New Roman" w:cs="Times New Roman"/>
          <w:sz w:val="24"/>
          <w:szCs w:val="24"/>
        </w:rPr>
        <w:t>Iznosi su planirani procjenom, a temeljem planiranih aktivnosti navedenih u Strategiji Instituta za društvena istraživanja u Zagrebu za razdoblje 2019.-2028.</w:t>
      </w:r>
    </w:p>
    <w:p w14:paraId="71EC5411" w14:textId="77777777" w:rsidR="000A0789" w:rsidRPr="00F57E66" w:rsidRDefault="000A0789" w:rsidP="00CD3CA0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2620584" w14:textId="570574BA" w:rsidR="000A0789" w:rsidRDefault="000A0789" w:rsidP="00CD3CA0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57E66">
        <w:rPr>
          <w:rFonts w:ascii="Times New Roman" w:hAnsi="Times New Roman" w:cs="Times New Roman"/>
          <w:sz w:val="24"/>
          <w:szCs w:val="24"/>
        </w:rPr>
        <w:t xml:space="preserve">Institut unutar redovne djelatnosti provodi sljedeće projekte: </w:t>
      </w:r>
    </w:p>
    <w:p w14:paraId="075BE3EF" w14:textId="6B43EB90" w:rsidR="0081384F" w:rsidRDefault="0081384F" w:rsidP="00CD3CA0">
      <w:pPr>
        <w:pStyle w:val="ListParagraph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7B0E5CE" w14:textId="121D5BEE" w:rsidR="0081384F" w:rsidRPr="008B65DF" w:rsidRDefault="0081384F" w:rsidP="008C6D46">
      <w:pPr>
        <w:pStyle w:val="ListParagraph"/>
        <w:numPr>
          <w:ilvl w:val="0"/>
          <w:numId w:val="7"/>
        </w:numPr>
        <w:spacing w:line="276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B65DF">
        <w:rPr>
          <w:rFonts w:ascii="Times New Roman" w:hAnsi="Times New Roman" w:cs="Times New Roman"/>
          <w:b/>
          <w:bCs/>
          <w:sz w:val="24"/>
          <w:szCs w:val="24"/>
        </w:rPr>
        <w:t>Projekti financirani iz Hrvatske zaklade za znanost</w:t>
      </w:r>
    </w:p>
    <w:p w14:paraId="557A5DD0" w14:textId="77777777" w:rsidR="000A0789" w:rsidRPr="00F57E66" w:rsidRDefault="000A0789" w:rsidP="00CD3CA0">
      <w:pPr>
        <w:pStyle w:val="ListParagraph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47A607" w14:textId="77777777" w:rsidR="00B251F4" w:rsidRPr="00F57E66" w:rsidRDefault="00B251F4" w:rsidP="00CD3CA0">
      <w:pPr>
        <w:pStyle w:val="ListParagraph"/>
        <w:numPr>
          <w:ilvl w:val="1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>Projekt HRZZ-IP-CORONA-2020-04-2044 - Otpornost hrvatskog društva uslijed COVID-19 pandemije (SOCRES)</w:t>
      </w:r>
    </w:p>
    <w:p w14:paraId="4A94A25F" w14:textId="1ECD1452" w:rsidR="00B251F4" w:rsidRPr="00B251F4" w:rsidRDefault="00B251F4" w:rsidP="00CD3CA0">
      <w:pPr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Razdoblje provedbe:</w:t>
      </w:r>
      <w:r w:rsidRPr="00F57E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384F">
        <w:rPr>
          <w:rFonts w:ascii="Times New Roman" w:hAnsi="Times New Roman" w:cs="Times New Roman"/>
          <w:i/>
          <w:sz w:val="24"/>
          <w:szCs w:val="24"/>
        </w:rPr>
        <w:t>15.07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1384F">
        <w:rPr>
          <w:rFonts w:ascii="Times New Roman" w:hAnsi="Times New Roman" w:cs="Times New Roman"/>
          <w:i/>
          <w:sz w:val="24"/>
          <w:szCs w:val="24"/>
        </w:rPr>
        <w:t xml:space="preserve"> 2020.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F57E66">
        <w:rPr>
          <w:rFonts w:ascii="Times New Roman" w:hAnsi="Times New Roman" w:cs="Times New Roman"/>
          <w:i/>
          <w:sz w:val="24"/>
          <w:szCs w:val="24"/>
        </w:rPr>
        <w:t>14.07.2022.</w:t>
      </w:r>
    </w:p>
    <w:p w14:paraId="4325F66C" w14:textId="77777777" w:rsidR="00B251F4" w:rsidRPr="00F57E66" w:rsidRDefault="00B251F4" w:rsidP="00CD3CA0">
      <w:pPr>
        <w:pStyle w:val="ListParagraph"/>
        <w:numPr>
          <w:ilvl w:val="1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>Projekt HRZZ-IP-CORONA-2020-12-5131 - Promjene u organizaciji procesa odgoja i obrazovanja uzrokovane COVID-19 pandemijom: učinci na obrazovna iskustva, dobrobit i aspiracije učenika u Republici Hrvatskoj (</w:t>
      </w:r>
      <w:proofErr w:type="spellStart"/>
      <w:r w:rsidRPr="00F57E66">
        <w:rPr>
          <w:rFonts w:ascii="Times New Roman" w:hAnsi="Times New Roman" w:cs="Times New Roman"/>
          <w:i/>
          <w:sz w:val="24"/>
          <w:szCs w:val="24"/>
        </w:rPr>
        <w:t>EWAchange</w:t>
      </w:r>
      <w:proofErr w:type="spellEnd"/>
      <w:r w:rsidRPr="00F57E66">
        <w:rPr>
          <w:rFonts w:ascii="Times New Roman" w:hAnsi="Times New Roman" w:cs="Times New Roman"/>
          <w:i/>
          <w:sz w:val="24"/>
          <w:szCs w:val="24"/>
        </w:rPr>
        <w:t>)</w:t>
      </w:r>
    </w:p>
    <w:p w14:paraId="0A7E36AF" w14:textId="2CE58D3A" w:rsidR="00B251F4" w:rsidRPr="00B251F4" w:rsidRDefault="00B251F4" w:rsidP="00CD3CA0">
      <w:pPr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Razdoblje provedbe:</w:t>
      </w:r>
      <w:r w:rsidRPr="0081384F">
        <w:t xml:space="preserve"> </w:t>
      </w:r>
      <w:r w:rsidRPr="0081384F">
        <w:rPr>
          <w:rFonts w:ascii="Times New Roman" w:hAnsi="Times New Roman" w:cs="Times New Roman"/>
          <w:i/>
          <w:sz w:val="24"/>
          <w:szCs w:val="24"/>
        </w:rPr>
        <w:t>23.8.2021.</w:t>
      </w:r>
      <w:r>
        <w:rPr>
          <w:rFonts w:ascii="Times New Roman" w:hAnsi="Times New Roman" w:cs="Times New Roman"/>
          <w:i/>
          <w:sz w:val="24"/>
          <w:szCs w:val="24"/>
        </w:rPr>
        <w:t xml:space="preserve"> -  </w:t>
      </w:r>
      <w:r w:rsidRPr="00614189">
        <w:rPr>
          <w:rFonts w:ascii="Times New Roman" w:hAnsi="Times New Roman" w:cs="Times New Roman"/>
          <w:i/>
          <w:sz w:val="24"/>
          <w:szCs w:val="24"/>
        </w:rPr>
        <w:t>22.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614189">
        <w:rPr>
          <w:rFonts w:ascii="Times New Roman" w:hAnsi="Times New Roman" w:cs="Times New Roman"/>
          <w:i/>
          <w:sz w:val="24"/>
          <w:szCs w:val="24"/>
        </w:rPr>
        <w:t>.2023.</w:t>
      </w:r>
    </w:p>
    <w:p w14:paraId="27049DC9" w14:textId="77777777" w:rsidR="00B251F4" w:rsidRPr="00F57E66" w:rsidRDefault="00B251F4" w:rsidP="00CD3CA0">
      <w:pPr>
        <w:pStyle w:val="ListParagraph"/>
        <w:numPr>
          <w:ilvl w:val="1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 xml:space="preserve">Projekt HRZZ-IP-2020-02-6039 - Uloga ličnosti, motivacije i </w:t>
      </w:r>
      <w:proofErr w:type="spellStart"/>
      <w:r w:rsidRPr="00F57E66">
        <w:rPr>
          <w:rFonts w:ascii="Times New Roman" w:hAnsi="Times New Roman" w:cs="Times New Roman"/>
          <w:i/>
          <w:sz w:val="24"/>
          <w:szCs w:val="24"/>
        </w:rPr>
        <w:t>socio</w:t>
      </w:r>
      <w:proofErr w:type="spellEnd"/>
      <w:r w:rsidRPr="00F57E66">
        <w:rPr>
          <w:rFonts w:ascii="Times New Roman" w:hAnsi="Times New Roman" w:cs="Times New Roman"/>
          <w:i/>
          <w:sz w:val="24"/>
          <w:szCs w:val="24"/>
        </w:rPr>
        <w:t>-emocionalnih kompetencija u profesionalnoj dobrobiti učitelja u ranoj fazi karijere (</w:t>
      </w:r>
      <w:proofErr w:type="spellStart"/>
      <w:r w:rsidRPr="00F57E66">
        <w:rPr>
          <w:rFonts w:ascii="Times New Roman" w:hAnsi="Times New Roman" w:cs="Times New Roman"/>
          <w:i/>
          <w:sz w:val="24"/>
          <w:szCs w:val="24"/>
        </w:rPr>
        <w:t>TeachWell</w:t>
      </w:r>
      <w:proofErr w:type="spellEnd"/>
      <w:r w:rsidRPr="00F57E66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14:paraId="0384BBC0" w14:textId="5AB70EE3" w:rsidR="00B251F4" w:rsidRPr="00B251F4" w:rsidRDefault="00B251F4" w:rsidP="00CD3CA0">
      <w:pPr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81384F">
        <w:rPr>
          <w:rFonts w:ascii="Times New Roman" w:hAnsi="Times New Roman" w:cs="Times New Roman"/>
          <w:i/>
          <w:sz w:val="24"/>
          <w:szCs w:val="24"/>
        </w:rPr>
        <w:t>1.2.2021.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AB24FD">
        <w:rPr>
          <w:rFonts w:ascii="Times New Roman" w:hAnsi="Times New Roman" w:cs="Times New Roman"/>
          <w:i/>
          <w:sz w:val="24"/>
          <w:szCs w:val="24"/>
        </w:rPr>
        <w:t>31.1.2025.</w:t>
      </w:r>
    </w:p>
    <w:p w14:paraId="16236DA0" w14:textId="77777777" w:rsidR="00B251F4" w:rsidRPr="00F57E66" w:rsidRDefault="00B251F4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t>Projekt HRZZ</w:t>
      </w:r>
      <w:r w:rsidRPr="00F57E66">
        <w:rPr>
          <w:rFonts w:ascii="Times New Roman" w:hAnsi="Times New Roman" w:cs="Times New Roman"/>
          <w:sz w:val="24"/>
          <w:szCs w:val="24"/>
        </w:rPr>
        <w:t>-</w:t>
      </w:r>
      <w:r w:rsidRPr="00F57E66">
        <w:rPr>
          <w:rFonts w:ascii="Times New Roman" w:hAnsi="Times New Roman" w:cs="Times New Roman"/>
          <w:i/>
          <w:sz w:val="24"/>
          <w:szCs w:val="24"/>
        </w:rPr>
        <w:t xml:space="preserve">IPS-2020-01-7036 - Kvaliteta života u stambenim naseljima iz socijalističkog i postsocijalističkog razdoblja: komparativna analiza između Slovenije i Hrvatske (HESC) </w:t>
      </w:r>
    </w:p>
    <w:p w14:paraId="44A7FC8A" w14:textId="57B261E0" w:rsidR="00B251F4" w:rsidRPr="00B251F4" w:rsidRDefault="00B251F4" w:rsidP="00CD3CA0">
      <w:pPr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Razdoblje provedbe:</w:t>
      </w:r>
      <w:r w:rsidRPr="00F57E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1384F">
        <w:rPr>
          <w:rFonts w:ascii="Times New Roman" w:hAnsi="Times New Roman" w:cs="Times New Roman"/>
          <w:i/>
          <w:sz w:val="24"/>
          <w:szCs w:val="24"/>
        </w:rPr>
        <w:t>15.10.2020.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280B7D">
        <w:rPr>
          <w:rFonts w:ascii="Times New Roman" w:hAnsi="Times New Roman" w:cs="Times New Roman"/>
          <w:i/>
          <w:sz w:val="24"/>
          <w:szCs w:val="24"/>
        </w:rPr>
        <w:t>14.10.2023.</w:t>
      </w:r>
    </w:p>
    <w:p w14:paraId="7B902354" w14:textId="77777777" w:rsidR="00B251F4" w:rsidRPr="00F57E66" w:rsidRDefault="00B251F4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7E66">
        <w:rPr>
          <w:rFonts w:ascii="Times New Roman" w:hAnsi="Times New Roman" w:cs="Times New Roman"/>
          <w:i/>
          <w:sz w:val="24"/>
          <w:szCs w:val="24"/>
        </w:rPr>
        <w:lastRenderedPageBreak/>
        <w:t>Projekt HRZZ-UIP-2019-04-2979 – Integracija i dezintegracija Europske unije: Dinamike europeizma i euroskepticizma (IDEU)</w:t>
      </w:r>
    </w:p>
    <w:p w14:paraId="63A84E9D" w14:textId="77777777" w:rsidR="00B251F4" w:rsidRDefault="00B251F4" w:rsidP="00CD3CA0">
      <w:pPr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6D635B">
        <w:rPr>
          <w:rFonts w:ascii="Times New Roman" w:hAnsi="Times New Roman" w:cs="Times New Roman"/>
          <w:i/>
          <w:sz w:val="24"/>
          <w:szCs w:val="24"/>
        </w:rPr>
        <w:t>24.2.2020.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6D635B">
        <w:rPr>
          <w:rFonts w:ascii="Times New Roman" w:hAnsi="Times New Roman" w:cs="Times New Roman"/>
          <w:i/>
          <w:sz w:val="24"/>
          <w:szCs w:val="24"/>
        </w:rPr>
        <w:t>23.2.2025.</w:t>
      </w:r>
    </w:p>
    <w:p w14:paraId="15F240E7" w14:textId="6AF13F66" w:rsidR="00B251F4" w:rsidRPr="00B251F4" w:rsidRDefault="00B251F4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51F4">
        <w:rPr>
          <w:rFonts w:ascii="Times New Roman" w:hAnsi="Times New Roman" w:cs="Times New Roman"/>
          <w:i/>
          <w:sz w:val="24"/>
          <w:szCs w:val="24"/>
        </w:rPr>
        <w:t>Projekt HRZZ IPS-2020-02- 8156 - YO-VID22: Dobrobit mladih i strukture potpore prije, tijekom i nakon COVID-19 pandemije</w:t>
      </w:r>
    </w:p>
    <w:p w14:paraId="59D7328C" w14:textId="54859C65" w:rsidR="00B251F4" w:rsidRDefault="00B251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51F4">
        <w:rPr>
          <w:rFonts w:ascii="Times New Roman" w:hAnsi="Times New Roman" w:cs="Times New Roman"/>
          <w:i/>
          <w:sz w:val="24"/>
          <w:szCs w:val="24"/>
        </w:rPr>
        <w:t xml:space="preserve">Razdoblje provedbe: 1.10.2022. - </w:t>
      </w:r>
      <w:r>
        <w:rPr>
          <w:rFonts w:ascii="Times New Roman" w:hAnsi="Times New Roman" w:cs="Times New Roman"/>
          <w:i/>
          <w:sz w:val="24"/>
          <w:szCs w:val="24"/>
        </w:rPr>
        <w:t>30.9.2025.</w:t>
      </w:r>
    </w:p>
    <w:p w14:paraId="24CDAF47" w14:textId="77777777" w:rsidR="00B251F4" w:rsidRPr="00B251F4" w:rsidRDefault="00B251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BB0299" w14:textId="77777777" w:rsidR="00B251F4" w:rsidRPr="00B251F4" w:rsidRDefault="00B251F4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51F4">
        <w:rPr>
          <w:rFonts w:ascii="Times New Roman" w:hAnsi="Times New Roman" w:cs="Times New Roman"/>
          <w:i/>
          <w:sz w:val="24"/>
          <w:szCs w:val="24"/>
        </w:rPr>
        <w:t>Projekt HRZZ IPS-2022-02-3741 – ISOLATION: Izolirani ljudi i zajednice u Sloveniji i Hrvatskoj</w:t>
      </w:r>
    </w:p>
    <w:p w14:paraId="4C785095" w14:textId="5E395E50" w:rsidR="006665E3" w:rsidRDefault="00B251F4" w:rsidP="00B46A3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51F4">
        <w:rPr>
          <w:rFonts w:ascii="Times New Roman" w:hAnsi="Times New Roman" w:cs="Times New Roman"/>
          <w:i/>
          <w:sz w:val="24"/>
          <w:szCs w:val="24"/>
        </w:rPr>
        <w:t>Razdoblje provedbe: 1.10.2022. - 30.9.2025.</w:t>
      </w:r>
    </w:p>
    <w:p w14:paraId="59E41002" w14:textId="77777777" w:rsidR="008C6D46" w:rsidRDefault="008C6D46" w:rsidP="00B46A3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5BB698" w14:textId="38480604" w:rsidR="006665E3" w:rsidRPr="008B65DF" w:rsidRDefault="006665E3" w:rsidP="008C6D46">
      <w:pPr>
        <w:pStyle w:val="ListParagraph"/>
        <w:numPr>
          <w:ilvl w:val="0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B65DF">
        <w:rPr>
          <w:rFonts w:ascii="Times New Roman" w:hAnsi="Times New Roman" w:cs="Times New Roman"/>
          <w:b/>
          <w:bCs/>
          <w:iCs/>
          <w:sz w:val="24"/>
          <w:szCs w:val="24"/>
        </w:rPr>
        <w:t>Projekti financirani iz Europskog socijalnog fonda (OP Učinkoviti ljudski potencijali 2014.-2020.)</w:t>
      </w:r>
    </w:p>
    <w:p w14:paraId="386A2E70" w14:textId="5B08B7F0" w:rsidR="006665E3" w:rsidRPr="00CD3CA0" w:rsidRDefault="006665E3" w:rsidP="00CD3CA0">
      <w:pPr>
        <w:spacing w:line="276" w:lineRule="auto"/>
        <w:ind w:left="567" w:hanging="567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sz w:val="24"/>
          <w:szCs w:val="24"/>
        </w:rPr>
        <w:t>2.1)</w:t>
      </w:r>
      <w:r w:rsidRPr="00CD3CA0">
        <w:rPr>
          <w:rFonts w:ascii="Times New Roman" w:hAnsi="Times New Roman" w:cs="Times New Roman"/>
          <w:sz w:val="24"/>
          <w:szCs w:val="24"/>
        </w:rPr>
        <w:tab/>
      </w:r>
      <w:r w:rsidRPr="00CD3CA0">
        <w:rPr>
          <w:rFonts w:ascii="Times New Roman" w:hAnsi="Times New Roman" w:cs="Times New Roman"/>
          <w:i/>
          <w:sz w:val="24"/>
          <w:szCs w:val="24"/>
        </w:rPr>
        <w:t>UP.04.2.1.06.0029 - METAR do bolje klime (Mreža za edukaciju, tranziciju, adaptaciju i razvoj)</w:t>
      </w:r>
    </w:p>
    <w:p w14:paraId="56F8EF66" w14:textId="06276D41" w:rsidR="006665E3" w:rsidRPr="00CD3CA0" w:rsidRDefault="006665E3" w:rsidP="00CD3CA0">
      <w:pPr>
        <w:spacing w:line="276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29.10.2020. – 28.10.2023.</w:t>
      </w:r>
    </w:p>
    <w:p w14:paraId="27050B66" w14:textId="2D6C1296" w:rsidR="006665E3" w:rsidRPr="00CD3CA0" w:rsidRDefault="006665E3" w:rsidP="00CD3CA0">
      <w:pPr>
        <w:spacing w:line="276" w:lineRule="auto"/>
        <w:ind w:left="567" w:hanging="567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2.2)</w:t>
      </w:r>
      <w:r w:rsidRPr="00CD3CA0">
        <w:rPr>
          <w:rFonts w:ascii="Times New Roman" w:hAnsi="Times New Roman" w:cs="Times New Roman"/>
          <w:i/>
          <w:sz w:val="24"/>
          <w:szCs w:val="24"/>
        </w:rPr>
        <w:tab/>
        <w:t>UP.04.2.1.06.0026 - Rad po mjeri čovjeka</w:t>
      </w:r>
    </w:p>
    <w:p w14:paraId="13ADDB45" w14:textId="1ABC7690" w:rsidR="006665E3" w:rsidRPr="00CD3CA0" w:rsidRDefault="006665E3" w:rsidP="00CD3CA0">
      <w:pPr>
        <w:spacing w:line="276" w:lineRule="auto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27.07.2020. – 26.07.2022.</w:t>
      </w:r>
    </w:p>
    <w:p w14:paraId="0FC1A48F" w14:textId="148B8B93" w:rsidR="006665E3" w:rsidRPr="00CD3CA0" w:rsidRDefault="006665E3" w:rsidP="00CD3CA0">
      <w:pPr>
        <w:spacing w:line="276" w:lineRule="auto"/>
        <w:ind w:left="567" w:hanging="567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2.3)</w:t>
      </w:r>
      <w:r w:rsidRPr="00CD3CA0">
        <w:rPr>
          <w:rFonts w:ascii="Times New Roman" w:hAnsi="Times New Roman" w:cs="Times New Roman"/>
          <w:i/>
          <w:sz w:val="24"/>
          <w:szCs w:val="24"/>
        </w:rPr>
        <w:tab/>
        <w:t>UP.04.2.1.06.0032 - Tematska mreža „Cjeloživotno obrazovanje dostupno svima“ (TEMCO)</w:t>
      </w:r>
    </w:p>
    <w:p w14:paraId="12D2C829" w14:textId="0A2490D8" w:rsidR="006665E3" w:rsidRPr="00CD3CA0" w:rsidRDefault="006665E3" w:rsidP="00CD3CA0">
      <w:pPr>
        <w:spacing w:line="276" w:lineRule="auto"/>
        <w:ind w:left="567" w:hanging="207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28. 10. 2020. – 27. 10. 2023.</w:t>
      </w:r>
    </w:p>
    <w:p w14:paraId="14556EA4" w14:textId="2C823E8E" w:rsidR="00DC09E6" w:rsidRDefault="00DC09E6" w:rsidP="00CD3CA0">
      <w:pPr>
        <w:pStyle w:val="ListParagraph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2E537DC" w14:textId="72731017" w:rsidR="00394D9C" w:rsidRPr="008B65DF" w:rsidRDefault="006665E3" w:rsidP="008C6D46">
      <w:pPr>
        <w:pStyle w:val="ListParagraph"/>
        <w:numPr>
          <w:ilvl w:val="0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B65DF">
        <w:rPr>
          <w:rFonts w:ascii="Times New Roman" w:hAnsi="Times New Roman" w:cs="Times New Roman"/>
          <w:b/>
          <w:bCs/>
          <w:iCs/>
          <w:sz w:val="24"/>
          <w:szCs w:val="24"/>
        </w:rPr>
        <w:t>Projekti ugovoreni s gospodarskim subjektima, tijelima državne uprave, JLS-ima ili civilnim sektorom</w:t>
      </w:r>
    </w:p>
    <w:p w14:paraId="7B38372A" w14:textId="780BCD20" w:rsidR="006665E3" w:rsidRPr="00CD3CA0" w:rsidRDefault="006665E3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3.1)</w:t>
      </w:r>
      <w:r w:rsidRPr="00CD3CA0">
        <w:rPr>
          <w:rFonts w:ascii="Times New Roman" w:hAnsi="Times New Roman" w:cs="Times New Roman"/>
          <w:i/>
          <w:sz w:val="24"/>
          <w:szCs w:val="24"/>
        </w:rPr>
        <w:tab/>
        <w:t xml:space="preserve">Analiza istraživanja </w:t>
      </w:r>
      <w:proofErr w:type="spellStart"/>
      <w:r w:rsidRPr="00CD3CA0">
        <w:rPr>
          <w:rFonts w:ascii="Times New Roman" w:hAnsi="Times New Roman" w:cs="Times New Roman"/>
          <w:i/>
          <w:sz w:val="24"/>
          <w:szCs w:val="24"/>
        </w:rPr>
        <w:t>zapošljivosti</w:t>
      </w:r>
      <w:proofErr w:type="spellEnd"/>
      <w:r w:rsidRPr="00CD3CA0">
        <w:rPr>
          <w:rFonts w:ascii="Times New Roman" w:hAnsi="Times New Roman" w:cs="Times New Roman"/>
          <w:i/>
          <w:sz w:val="24"/>
          <w:szCs w:val="24"/>
        </w:rPr>
        <w:t xml:space="preserve"> diplomiranih studenata</w:t>
      </w:r>
    </w:p>
    <w:p w14:paraId="77C93A09" w14:textId="2C3502D1" w:rsidR="006665E3" w:rsidRPr="00CD3CA0" w:rsidRDefault="006665E3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ab/>
        <w:t>Ugovorno tijelo: Agencija za znanost i visoko obrazovanje</w:t>
      </w:r>
    </w:p>
    <w:p w14:paraId="08B9C8FF" w14:textId="3CF03B45" w:rsidR="006665E3" w:rsidRPr="00CD3CA0" w:rsidRDefault="006665E3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ab/>
        <w:t>Razdoblje provedbe: 20.2.2023. - 10.4.2023.</w:t>
      </w:r>
    </w:p>
    <w:p w14:paraId="671E9E68" w14:textId="792A27BC" w:rsidR="006665E3" w:rsidRPr="00CD3CA0" w:rsidRDefault="006665E3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3.2)</w:t>
      </w:r>
      <w:r w:rsidRPr="00CD3CA0">
        <w:rPr>
          <w:rFonts w:ascii="Times New Roman" w:hAnsi="Times New Roman" w:cs="Times New Roman"/>
          <w:i/>
          <w:sz w:val="24"/>
          <w:szCs w:val="24"/>
        </w:rPr>
        <w:tab/>
        <w:t>Grad za mlade – model certificiranja hrvatskih gradova na polju provedbe lokalnih politika za mlade</w:t>
      </w:r>
    </w:p>
    <w:p w14:paraId="61434C7C" w14:textId="21BA1180" w:rsidR="006665E3" w:rsidRPr="00CD3CA0" w:rsidRDefault="006665E3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ab/>
        <w:t>Ugovorno tijelo: Udruga gradova u RH</w:t>
      </w:r>
    </w:p>
    <w:p w14:paraId="7A3E1125" w14:textId="28DCF253" w:rsidR="006665E3" w:rsidRPr="00CD3CA0" w:rsidRDefault="006665E3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ab/>
        <w:t>Razdoblje provedbe: 2020. – 2025.</w:t>
      </w:r>
    </w:p>
    <w:p w14:paraId="3F492EF9" w14:textId="3EF984F9" w:rsidR="00645B27" w:rsidRPr="00CD3CA0" w:rsidRDefault="00645B27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3.3)</w:t>
      </w:r>
      <w:r w:rsidRPr="00CD3CA0">
        <w:rPr>
          <w:rFonts w:ascii="Times New Roman" w:hAnsi="Times New Roman" w:cs="Times New Roman"/>
          <w:i/>
          <w:sz w:val="24"/>
          <w:szCs w:val="24"/>
        </w:rPr>
        <w:tab/>
        <w:t xml:space="preserve">Generacija podrške i </w:t>
      </w:r>
      <w:proofErr w:type="spellStart"/>
      <w:r w:rsidRPr="00CD3CA0">
        <w:rPr>
          <w:rFonts w:ascii="Times New Roman" w:hAnsi="Times New Roman" w:cs="Times New Roman"/>
          <w:i/>
          <w:sz w:val="24"/>
          <w:szCs w:val="24"/>
        </w:rPr>
        <w:t>destigmatizacije</w:t>
      </w:r>
      <w:proofErr w:type="spellEnd"/>
      <w:r w:rsidRPr="00CD3CA0">
        <w:rPr>
          <w:rFonts w:ascii="Times New Roman" w:hAnsi="Times New Roman" w:cs="Times New Roman"/>
          <w:i/>
          <w:sz w:val="24"/>
          <w:szCs w:val="24"/>
        </w:rPr>
        <w:t xml:space="preserve"> - GPS 1.1.</w:t>
      </w:r>
    </w:p>
    <w:p w14:paraId="056F0BCB" w14:textId="01A488BB" w:rsidR="00645B27" w:rsidRPr="00CD3CA0" w:rsidRDefault="00645B27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ab/>
        <w:t xml:space="preserve">Ugovorno tijelo: </w:t>
      </w:r>
      <w:proofErr w:type="spellStart"/>
      <w:r w:rsidR="008C0B95" w:rsidRPr="00CD3CA0">
        <w:rPr>
          <w:rFonts w:ascii="Times New Roman" w:hAnsi="Times New Roman" w:cs="Times New Roman"/>
          <w:i/>
          <w:sz w:val="24"/>
          <w:szCs w:val="24"/>
        </w:rPr>
        <w:t>DrONe</w:t>
      </w:r>
      <w:proofErr w:type="spellEnd"/>
      <w:r w:rsidR="008C0B95" w:rsidRPr="00CD3CA0">
        <w:rPr>
          <w:rFonts w:ascii="Times New Roman" w:hAnsi="Times New Roman" w:cs="Times New Roman"/>
          <w:i/>
          <w:sz w:val="24"/>
          <w:szCs w:val="24"/>
        </w:rPr>
        <w:t xml:space="preserve"> – udruga za društveni razvoj i neformalno obrazovanje</w:t>
      </w:r>
    </w:p>
    <w:p w14:paraId="701E0CE2" w14:textId="176C0250" w:rsidR="00645B27" w:rsidRPr="00CD3CA0" w:rsidRDefault="00645B27" w:rsidP="00CD3CA0">
      <w:p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ab/>
        <w:t>Razdoblje provedbe: 01.11.2022. - 31.10.2023.</w:t>
      </w:r>
    </w:p>
    <w:p w14:paraId="25A1763B" w14:textId="6FB6A69A" w:rsidR="00DD7B4D" w:rsidRPr="00CD3CA0" w:rsidRDefault="00DD7B4D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Aspiracije djevojaka k obrazovnim i profesionalnim putevima u STEM području – </w:t>
      </w:r>
      <w:proofErr w:type="spellStart"/>
      <w:r w:rsidRPr="00CD3CA0">
        <w:rPr>
          <w:rFonts w:ascii="Times New Roman" w:hAnsi="Times New Roman" w:cs="Times New Roman"/>
          <w:i/>
          <w:sz w:val="24"/>
          <w:szCs w:val="24"/>
        </w:rPr>
        <w:t>Steam</w:t>
      </w:r>
      <w:proofErr w:type="spellEnd"/>
    </w:p>
    <w:p w14:paraId="093689E1" w14:textId="39595186" w:rsidR="00DD7B4D" w:rsidRPr="00CD3CA0" w:rsidRDefault="00DD7B4D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Grad Split i A1 Hrvatska</w:t>
      </w:r>
    </w:p>
    <w:p w14:paraId="6919F6D0" w14:textId="2BB75426" w:rsidR="00DD7B4D" w:rsidRPr="00CD3CA0" w:rsidRDefault="00DD7B4D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15.3.2023. - 15.3.2024.</w:t>
      </w:r>
    </w:p>
    <w:p w14:paraId="3323FBCA" w14:textId="067F40E3" w:rsidR="00394D9C" w:rsidRPr="00CD3CA0" w:rsidRDefault="00394D9C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E90966" w14:textId="433D3D8A" w:rsidR="00394D9C" w:rsidRPr="00CD3CA0" w:rsidRDefault="00394D9C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Izrada Sociološke studije Gornji Grad i Kaptol u okviru rada na Programu cjelovite obnove povijesne jezgre grada Zagreba</w:t>
      </w:r>
    </w:p>
    <w:p w14:paraId="1F6EA24A" w14:textId="5359CD10" w:rsidR="00394D9C" w:rsidRPr="00CD3CA0" w:rsidRDefault="00394D9C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Zavod za prostorno uređenje Grada Zagreba</w:t>
      </w:r>
    </w:p>
    <w:p w14:paraId="371CB4AE" w14:textId="656E8557" w:rsidR="00394D9C" w:rsidRPr="00CD3CA0" w:rsidRDefault="00394D9C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1.10.2022. - 28.02.2023.</w:t>
      </w:r>
    </w:p>
    <w:p w14:paraId="5BFE3BB6" w14:textId="43459E8B" w:rsidR="00394D9C" w:rsidRPr="00CD3CA0" w:rsidRDefault="00394D9C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E003C6" w14:textId="56F61EBD" w:rsidR="00394D9C" w:rsidRPr="00CD3CA0" w:rsidRDefault="003D3762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 xml:space="preserve">Provedba istraživanja </w:t>
      </w:r>
      <w:proofErr w:type="spellStart"/>
      <w:r w:rsidRPr="00CD3CA0">
        <w:rPr>
          <w:rFonts w:ascii="Times New Roman" w:hAnsi="Times New Roman" w:cs="Times New Roman"/>
          <w:i/>
          <w:sz w:val="24"/>
          <w:szCs w:val="24"/>
        </w:rPr>
        <w:t>mid-term</w:t>
      </w:r>
      <w:proofErr w:type="spellEnd"/>
      <w:r w:rsidRPr="00CD3CA0">
        <w:rPr>
          <w:rFonts w:ascii="Times New Roman" w:hAnsi="Times New Roman" w:cs="Times New Roman"/>
          <w:i/>
          <w:sz w:val="24"/>
          <w:szCs w:val="24"/>
        </w:rPr>
        <w:t xml:space="preserve"> evaluacije programa Erasmus+ i ESS</w:t>
      </w:r>
    </w:p>
    <w:p w14:paraId="3B061B31" w14:textId="00F8065E" w:rsidR="003D3762" w:rsidRPr="00CD3CA0" w:rsidRDefault="003D3762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Agencija za mobilnost i programe EU</w:t>
      </w:r>
    </w:p>
    <w:p w14:paraId="4618F574" w14:textId="371DF6C1" w:rsidR="003D3762" w:rsidRPr="00CD3CA0" w:rsidRDefault="003D3762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08.05.2023. - 31.05.2024.</w:t>
      </w:r>
    </w:p>
    <w:p w14:paraId="13901D83" w14:textId="1AC8E470" w:rsidR="003D3762" w:rsidRPr="00CD3CA0" w:rsidRDefault="003D3762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F058DB" w14:textId="0DDCE183" w:rsidR="003D3762" w:rsidRPr="00CD3CA0" w:rsidRDefault="009570F5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Istraživanje radnih uvjeta u neprofitnom sektoru u Republici Hrvatskoj</w:t>
      </w:r>
    </w:p>
    <w:p w14:paraId="6DC42877" w14:textId="3D400C46" w:rsidR="009570F5" w:rsidRPr="00CD3CA0" w:rsidRDefault="009570F5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 xml:space="preserve">Ugovorno tijelo: Friedrich Ebert </w:t>
      </w:r>
      <w:proofErr w:type="spellStart"/>
      <w:r w:rsidRPr="00CD3CA0">
        <w:rPr>
          <w:rFonts w:ascii="Times New Roman" w:hAnsi="Times New Roman" w:cs="Times New Roman"/>
          <w:i/>
          <w:sz w:val="24"/>
          <w:szCs w:val="24"/>
        </w:rPr>
        <w:t>Stiftung</w:t>
      </w:r>
      <w:proofErr w:type="spellEnd"/>
      <w:r w:rsidRPr="00CD3CA0">
        <w:rPr>
          <w:rFonts w:ascii="Times New Roman" w:hAnsi="Times New Roman" w:cs="Times New Roman"/>
          <w:i/>
          <w:sz w:val="24"/>
          <w:szCs w:val="24"/>
        </w:rPr>
        <w:t xml:space="preserve"> Zagreb</w:t>
      </w:r>
    </w:p>
    <w:p w14:paraId="5D23B358" w14:textId="2C425F11" w:rsidR="009570F5" w:rsidRPr="00CD3CA0" w:rsidRDefault="009570F5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20.06.2023. - 31.10.2023.</w:t>
      </w:r>
    </w:p>
    <w:p w14:paraId="0945E26D" w14:textId="590C1B81" w:rsidR="009570F5" w:rsidRPr="00CD3CA0" w:rsidRDefault="009570F5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880EA3" w14:textId="08ED2168" w:rsidR="009570F5" w:rsidRPr="00CD3CA0" w:rsidRDefault="009570F5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Provođenje istraživanja o studentskom radu</w:t>
      </w:r>
    </w:p>
    <w:p w14:paraId="0C274536" w14:textId="5A99C990" w:rsidR="009570F5" w:rsidRPr="00CD3CA0" w:rsidRDefault="009570F5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Fakultet elektrotehnike i računarstva</w:t>
      </w:r>
    </w:p>
    <w:p w14:paraId="58D67ED7" w14:textId="766AE2A4" w:rsidR="009570F5" w:rsidRPr="00CD3CA0" w:rsidRDefault="009570F5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="00196E28" w:rsidRPr="00CD3CA0">
        <w:rPr>
          <w:rFonts w:ascii="Times New Roman" w:hAnsi="Times New Roman" w:cs="Times New Roman"/>
          <w:i/>
          <w:sz w:val="24"/>
          <w:szCs w:val="24"/>
        </w:rPr>
        <w:t>20.07.2023.</w:t>
      </w:r>
      <w:r w:rsidRPr="00CD3C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24253" w:rsidRPr="00CD3CA0">
        <w:rPr>
          <w:rFonts w:ascii="Times New Roman" w:hAnsi="Times New Roman" w:cs="Times New Roman"/>
          <w:i/>
          <w:sz w:val="24"/>
          <w:szCs w:val="24"/>
        </w:rPr>
        <w:t>-</w:t>
      </w:r>
      <w:r w:rsidRPr="00CD3CA0">
        <w:rPr>
          <w:rFonts w:ascii="Times New Roman" w:hAnsi="Times New Roman" w:cs="Times New Roman"/>
          <w:i/>
          <w:sz w:val="24"/>
          <w:szCs w:val="24"/>
        </w:rPr>
        <w:t xml:space="preserve"> 31.12.2023.</w:t>
      </w:r>
    </w:p>
    <w:p w14:paraId="56B61078" w14:textId="21A2BB17" w:rsidR="00DD7976" w:rsidRPr="00CD3CA0" w:rsidRDefault="00DD7976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055DB0" w14:textId="77777777" w:rsidR="00424253" w:rsidRPr="00CD3CA0" w:rsidRDefault="00424253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 xml:space="preserve">Primjena informacijsko-komunikacijske tehnologije u procesu učenja, poučavanja, i vrednovanja u osnovnim i srednjim školama u Hrvatskoj </w:t>
      </w:r>
    </w:p>
    <w:p w14:paraId="2D0D572F" w14:textId="679DB3BE" w:rsidR="00DD7976" w:rsidRPr="00CD3CA0" w:rsidRDefault="00DD7976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CARNET</w:t>
      </w:r>
    </w:p>
    <w:p w14:paraId="342A0C0F" w14:textId="78918819" w:rsidR="00DD7976" w:rsidRPr="00CD3CA0" w:rsidRDefault="00DD7976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="00424253" w:rsidRPr="00CD3CA0">
        <w:rPr>
          <w:rFonts w:ascii="Times New Roman" w:hAnsi="Times New Roman" w:cs="Times New Roman"/>
          <w:i/>
          <w:sz w:val="24"/>
          <w:szCs w:val="24"/>
        </w:rPr>
        <w:t>12.04.2018. - 31.12.2018.</w:t>
      </w:r>
    </w:p>
    <w:p w14:paraId="40ECBA24" w14:textId="54ADC228" w:rsidR="00DD7976" w:rsidRPr="00CD3CA0" w:rsidRDefault="00DD7976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9AD8531" w14:textId="47258BEE" w:rsidR="00424253" w:rsidRPr="00CD3CA0" w:rsidRDefault="00424253" w:rsidP="00CD3CA0">
      <w:pPr>
        <w:pStyle w:val="ListParagraph"/>
        <w:numPr>
          <w:ilvl w:val="1"/>
          <w:numId w:val="8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 xml:space="preserve">Youth </w:t>
      </w:r>
      <w:proofErr w:type="spellStart"/>
      <w:r w:rsidRPr="00CD3CA0">
        <w:rPr>
          <w:rFonts w:ascii="Times New Roman" w:hAnsi="Times New Roman" w:cs="Times New Roman"/>
          <w:i/>
          <w:sz w:val="24"/>
          <w:szCs w:val="24"/>
        </w:rPr>
        <w:t>Studies</w:t>
      </w:r>
      <w:proofErr w:type="spellEnd"/>
      <w:r w:rsidRPr="00CD3CA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D3CA0">
        <w:rPr>
          <w:rFonts w:ascii="Times New Roman" w:hAnsi="Times New Roman" w:cs="Times New Roman"/>
          <w:i/>
          <w:sz w:val="24"/>
          <w:szCs w:val="24"/>
        </w:rPr>
        <w:t>Southeast</w:t>
      </w:r>
      <w:proofErr w:type="spellEnd"/>
      <w:r w:rsidRPr="00CD3CA0">
        <w:rPr>
          <w:rFonts w:ascii="Times New Roman" w:hAnsi="Times New Roman" w:cs="Times New Roman"/>
          <w:i/>
          <w:sz w:val="24"/>
          <w:szCs w:val="24"/>
        </w:rPr>
        <w:t xml:space="preserve"> Europe 2018. – Croatia</w:t>
      </w:r>
    </w:p>
    <w:p w14:paraId="79381E11" w14:textId="74847A46" w:rsidR="00424253" w:rsidRDefault="00424253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 xml:space="preserve">Ugovorno tijelo: Friedrich Ebert </w:t>
      </w:r>
      <w:proofErr w:type="spellStart"/>
      <w:r w:rsidRPr="00CD3CA0">
        <w:rPr>
          <w:rFonts w:ascii="Times New Roman" w:hAnsi="Times New Roman" w:cs="Times New Roman"/>
          <w:i/>
          <w:sz w:val="24"/>
          <w:szCs w:val="24"/>
        </w:rPr>
        <w:t>Stiftung</w:t>
      </w:r>
      <w:proofErr w:type="spellEnd"/>
      <w:r w:rsidRPr="00CD3CA0">
        <w:rPr>
          <w:rFonts w:ascii="Times New Roman" w:hAnsi="Times New Roman" w:cs="Times New Roman"/>
          <w:i/>
          <w:sz w:val="24"/>
          <w:szCs w:val="24"/>
        </w:rPr>
        <w:t xml:space="preserve"> Zagreb</w:t>
      </w:r>
      <w:r w:rsidR="00AF6A1C" w:rsidRPr="00CD3CA0">
        <w:rPr>
          <w:rFonts w:ascii="Times New Roman" w:hAnsi="Times New Roman" w:cs="Times New Roman"/>
          <w:i/>
          <w:sz w:val="24"/>
          <w:szCs w:val="24"/>
        </w:rPr>
        <w:t xml:space="preserve"> (FES)</w:t>
      </w:r>
    </w:p>
    <w:p w14:paraId="1953BD21" w14:textId="77777777" w:rsidR="00CD3CA0" w:rsidRPr="00CD3CA0" w:rsidRDefault="00CD3CA0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8FE70F3" w14:textId="150F80B3" w:rsidR="00DD7976" w:rsidRPr="00CD3CA0" w:rsidRDefault="00DA766D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3.11</w:t>
      </w:r>
      <w:r w:rsidR="00AF6A1C" w:rsidRPr="00CD3CA0">
        <w:rPr>
          <w:rFonts w:ascii="Times New Roman" w:hAnsi="Times New Roman" w:cs="Times New Roman"/>
          <w:i/>
          <w:sz w:val="24"/>
          <w:szCs w:val="24"/>
        </w:rPr>
        <w:t>) Izrada studije Aktualna praksa izdavanja i primjene dopunske isprave o studìju u Republici Hrvatskoj te izrada koncepta i tehničke specifikacije platforme za digitalizaciju diplome i dopunske isprave o studiju</w:t>
      </w:r>
    </w:p>
    <w:p w14:paraId="5C7F1F0E" w14:textId="03A60894" w:rsidR="00AF6A1C" w:rsidRPr="00CD3CA0" w:rsidRDefault="00AF6A1C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Kratki naziv: Dodatak diplomi</w:t>
      </w:r>
    </w:p>
    <w:p w14:paraId="1DB3BA71" w14:textId="13A3C02E" w:rsidR="00AF6A1C" w:rsidRPr="00CD3CA0" w:rsidRDefault="00AF6A1C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MZO</w:t>
      </w:r>
    </w:p>
    <w:p w14:paraId="0C1050D9" w14:textId="76A637A6" w:rsidR="00AF6A1C" w:rsidRPr="00CD3CA0" w:rsidRDefault="00AF6A1C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01.10.2020. - 30.06.2021.</w:t>
      </w:r>
    </w:p>
    <w:p w14:paraId="61B1C819" w14:textId="77777777" w:rsidR="00AF6A1C" w:rsidRPr="00CD3CA0" w:rsidRDefault="00AF6A1C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C1DB754" w14:textId="60ECB941" w:rsidR="00DD7976" w:rsidRPr="00CD3CA0" w:rsidRDefault="00DA766D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3.12</w:t>
      </w:r>
      <w:r w:rsidR="00DD7976" w:rsidRPr="00CD3CA0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AF6A1C" w:rsidRPr="00CD3CA0">
        <w:rPr>
          <w:rFonts w:ascii="Times New Roman" w:hAnsi="Times New Roman" w:cs="Times New Roman"/>
          <w:i/>
          <w:sz w:val="24"/>
          <w:szCs w:val="24"/>
        </w:rPr>
        <w:t>Raspoloživost srednjoškolskih programa u Hrvatskoj: pregled kapaciteta, interesa i strukture upisa 2012.-2021.</w:t>
      </w:r>
    </w:p>
    <w:p w14:paraId="7B3426EA" w14:textId="15C6C9E7" w:rsidR="00AF6A1C" w:rsidRPr="00CD3CA0" w:rsidRDefault="00AF6A1C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MZO</w:t>
      </w:r>
    </w:p>
    <w:p w14:paraId="063C65D5" w14:textId="04DFE307" w:rsidR="00AF6A1C" w:rsidRPr="00CD3CA0" w:rsidRDefault="00AF6A1C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 7.10.2021. – 30.6.2022.</w:t>
      </w:r>
    </w:p>
    <w:p w14:paraId="1849BE44" w14:textId="77777777" w:rsidR="00AF6A1C" w:rsidRPr="00CD3CA0" w:rsidRDefault="00AF6A1C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F49E42" w14:textId="50345507" w:rsidR="00DD7976" w:rsidRPr="00CD3CA0" w:rsidRDefault="00DA766D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3.13</w:t>
      </w:r>
      <w:r w:rsidR="00DD7976" w:rsidRPr="00CD3CA0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4C7A18" w:rsidRPr="00CD3CA0">
        <w:rPr>
          <w:rFonts w:ascii="Times New Roman" w:hAnsi="Times New Roman" w:cs="Times New Roman"/>
          <w:i/>
          <w:sz w:val="24"/>
          <w:szCs w:val="24"/>
        </w:rPr>
        <w:t>Analiza stanja u sektoru mladih u Republici Hrvatskoj</w:t>
      </w:r>
    </w:p>
    <w:p w14:paraId="4E503141" w14:textId="56CD3C08" w:rsidR="004C7A18" w:rsidRPr="00CD3CA0" w:rsidRDefault="004C7A18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Središnji državni ured za demografiju i mlade</w:t>
      </w:r>
    </w:p>
    <w:p w14:paraId="1A84F2D3" w14:textId="2B823E5C" w:rsidR="004C7A18" w:rsidRPr="00CD3CA0" w:rsidRDefault="004C7A18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Napomena: izrada studije tijekom tri mjeseca</w:t>
      </w:r>
    </w:p>
    <w:p w14:paraId="1E65AD01" w14:textId="77777777" w:rsidR="00AF6A1C" w:rsidRPr="00CD3CA0" w:rsidRDefault="00AF6A1C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8678B7" w14:textId="2E415E2A" w:rsidR="00DD7976" w:rsidRPr="00CD3CA0" w:rsidRDefault="00DA766D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3.14</w:t>
      </w:r>
      <w:r w:rsidR="00DD7976" w:rsidRPr="00CD3CA0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31EAC" w:rsidRPr="00CD3CA0">
        <w:rPr>
          <w:rFonts w:ascii="Times New Roman" w:hAnsi="Times New Roman" w:cs="Times New Roman"/>
          <w:i/>
          <w:sz w:val="24"/>
          <w:szCs w:val="24"/>
        </w:rPr>
        <w:t>Izrada studije na temu socijalne dimenzije visokoškolskog obrazovanja u Republici Hrvatskoj</w:t>
      </w:r>
    </w:p>
    <w:p w14:paraId="37EA2A21" w14:textId="79E351D8" w:rsidR="00DD7976" w:rsidRPr="00CD3CA0" w:rsidRDefault="00DD7976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MZO</w:t>
      </w:r>
    </w:p>
    <w:p w14:paraId="20C7B964" w14:textId="7691052C" w:rsidR="00DD7976" w:rsidRPr="00CD3CA0" w:rsidRDefault="00DD7976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Razdoblje provedbe:</w:t>
      </w:r>
      <w:r w:rsidR="00F31EAC" w:rsidRPr="00CD3CA0">
        <w:rPr>
          <w:rFonts w:ascii="Times New Roman" w:hAnsi="Times New Roman" w:cs="Times New Roman"/>
          <w:i/>
          <w:sz w:val="24"/>
          <w:szCs w:val="24"/>
        </w:rPr>
        <w:t xml:space="preserve"> 30.09.2019. – 31.07.2021.</w:t>
      </w:r>
    </w:p>
    <w:p w14:paraId="5BAF5057" w14:textId="77777777" w:rsidR="00AF6A1C" w:rsidRPr="00CD3CA0" w:rsidRDefault="00AF6A1C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C6A805" w14:textId="6D1EA088" w:rsidR="00DD7976" w:rsidRPr="00CD3CA0" w:rsidRDefault="00DA766D" w:rsidP="00CD3CA0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3.15</w:t>
      </w:r>
      <w:r w:rsidR="00DD7976" w:rsidRPr="00CD3CA0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5C115F" w:rsidRPr="00CD3CA0">
        <w:rPr>
          <w:rFonts w:ascii="Times New Roman" w:hAnsi="Times New Roman" w:cs="Times New Roman"/>
          <w:i/>
          <w:sz w:val="24"/>
          <w:szCs w:val="24"/>
        </w:rPr>
        <w:t>Evaluacija programa 'Grad/općina – prijatelj djece' iz perspektive djece u 2022. godini: Grad Zaprešić</w:t>
      </w:r>
    </w:p>
    <w:p w14:paraId="4C898926" w14:textId="36AC0BFC" w:rsidR="005C115F" w:rsidRPr="00CD3CA0" w:rsidRDefault="005C115F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>Ugovorno tijelo: Grad Zaprešić</w:t>
      </w:r>
    </w:p>
    <w:p w14:paraId="4E5C2382" w14:textId="77777777" w:rsidR="008C6D46" w:rsidRDefault="005C115F" w:rsidP="008C6D46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3CA0">
        <w:rPr>
          <w:rFonts w:ascii="Times New Roman" w:hAnsi="Times New Roman" w:cs="Times New Roman"/>
          <w:i/>
          <w:sz w:val="24"/>
          <w:szCs w:val="24"/>
        </w:rPr>
        <w:t xml:space="preserve">Razdoblje provedbe: 1.10.2022. – 31.11.2022.  </w:t>
      </w:r>
    </w:p>
    <w:p w14:paraId="1072C69F" w14:textId="77777777" w:rsidR="008C6D46" w:rsidRDefault="008C6D46" w:rsidP="008C6D46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B06EBF" w14:textId="754D57C4" w:rsidR="002D2BF4" w:rsidRPr="008C6D46" w:rsidRDefault="002D2BF4" w:rsidP="008C6D46">
      <w:pPr>
        <w:pStyle w:val="ListParagraph"/>
        <w:numPr>
          <w:ilvl w:val="0"/>
          <w:numId w:val="24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6D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Program </w:t>
      </w:r>
      <w:proofErr w:type="spellStart"/>
      <w:r w:rsidRPr="008C6D46">
        <w:rPr>
          <w:rFonts w:ascii="Times New Roman" w:hAnsi="Times New Roman" w:cs="Times New Roman"/>
          <w:b/>
          <w:bCs/>
          <w:i/>
          <w:sz w:val="24"/>
          <w:szCs w:val="24"/>
        </w:rPr>
        <w:t>Horizon</w:t>
      </w:r>
      <w:proofErr w:type="spellEnd"/>
      <w:r w:rsidRPr="008C6D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2020 i </w:t>
      </w:r>
      <w:proofErr w:type="spellStart"/>
      <w:r w:rsidRPr="008C6D46">
        <w:rPr>
          <w:rFonts w:ascii="Times New Roman" w:hAnsi="Times New Roman" w:cs="Times New Roman"/>
          <w:b/>
          <w:bCs/>
          <w:i/>
          <w:sz w:val="24"/>
          <w:szCs w:val="24"/>
        </w:rPr>
        <w:t>Horizon</w:t>
      </w:r>
      <w:proofErr w:type="spellEnd"/>
      <w:r w:rsidRPr="008C6D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Europe:</w:t>
      </w:r>
    </w:p>
    <w:p w14:paraId="36956D2B" w14:textId="77777777" w:rsidR="002D2BF4" w:rsidRDefault="002D2BF4" w:rsidP="00CD3CA0">
      <w:pPr>
        <w:pStyle w:val="ListParagraph"/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89C94D" w14:textId="5A986EBF" w:rsidR="002D2BF4" w:rsidRPr="002D2BF4" w:rsidRDefault="002D2BF4" w:rsidP="00CD3CA0">
      <w:pPr>
        <w:pStyle w:val="ListParagraph"/>
        <w:numPr>
          <w:ilvl w:val="1"/>
          <w:numId w:val="24"/>
        </w:num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2BF4">
        <w:rPr>
          <w:rFonts w:ascii="Times New Roman" w:hAnsi="Times New Roman" w:cs="Times New Roman"/>
          <w:i/>
          <w:sz w:val="24"/>
          <w:szCs w:val="24"/>
        </w:rPr>
        <w:t xml:space="preserve">HORIZON-CL2-2022-DEMOCRACY-01: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Democracy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meets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arts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critical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change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labs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for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building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democratic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cultures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through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creative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and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narrative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practices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9FC5375" w14:textId="77777777" w:rsidR="002D2BF4" w:rsidRDefault="002D2BF4" w:rsidP="00CD3CA0">
      <w:pPr>
        <w:pStyle w:val="ListParagraph"/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Kraći naziv: </w:t>
      </w:r>
      <w:proofErr w:type="spellStart"/>
      <w:r w:rsidRPr="009D14A6">
        <w:rPr>
          <w:rFonts w:ascii="Times New Roman" w:hAnsi="Times New Roman" w:cs="Times New Roman"/>
          <w:i/>
          <w:sz w:val="24"/>
          <w:szCs w:val="24"/>
        </w:rPr>
        <w:t>Critical</w:t>
      </w:r>
      <w:proofErr w:type="spellEnd"/>
      <w:r w:rsidRPr="009D14A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14A6">
        <w:rPr>
          <w:rFonts w:ascii="Times New Roman" w:hAnsi="Times New Roman" w:cs="Times New Roman"/>
          <w:i/>
          <w:sz w:val="24"/>
          <w:szCs w:val="24"/>
        </w:rPr>
        <w:t>ChangeLab</w:t>
      </w:r>
      <w:proofErr w:type="spellEnd"/>
    </w:p>
    <w:p w14:paraId="701A8A17" w14:textId="77777777" w:rsidR="002D2BF4" w:rsidRDefault="002D2BF4" w:rsidP="00CD3CA0">
      <w:pPr>
        <w:pStyle w:val="ListParagraph"/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9D14A6">
        <w:rPr>
          <w:rFonts w:ascii="Times New Roman" w:hAnsi="Times New Roman" w:cs="Times New Roman"/>
          <w:i/>
          <w:sz w:val="24"/>
          <w:szCs w:val="24"/>
        </w:rPr>
        <w:t>01.04.2023</w:t>
      </w:r>
      <w:r>
        <w:rPr>
          <w:rFonts w:ascii="Times New Roman" w:hAnsi="Times New Roman" w:cs="Times New Roman"/>
          <w:i/>
          <w:sz w:val="24"/>
          <w:szCs w:val="24"/>
        </w:rPr>
        <w:t xml:space="preserve">. - </w:t>
      </w:r>
      <w:r w:rsidRPr="009D14A6">
        <w:rPr>
          <w:rFonts w:ascii="Times New Roman" w:hAnsi="Times New Roman" w:cs="Times New Roman"/>
          <w:i/>
          <w:sz w:val="24"/>
          <w:szCs w:val="24"/>
        </w:rPr>
        <w:t>31.03.2026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45308559" w14:textId="77777777" w:rsidR="002D2BF4" w:rsidRDefault="002D2BF4" w:rsidP="00CD3CA0">
      <w:pPr>
        <w:pStyle w:val="ListParagraph"/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1787DDF" w14:textId="07E8E7BF" w:rsidR="002D2BF4" w:rsidRPr="002D2BF4" w:rsidRDefault="002D2BF4" w:rsidP="00CD3CA0">
      <w:pPr>
        <w:pStyle w:val="ListParagraph"/>
        <w:numPr>
          <w:ilvl w:val="1"/>
          <w:numId w:val="24"/>
        </w:num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2BF4">
        <w:rPr>
          <w:rFonts w:ascii="Times New Roman" w:hAnsi="Times New Roman" w:cs="Times New Roman"/>
          <w:i/>
          <w:sz w:val="24"/>
          <w:szCs w:val="24"/>
        </w:rPr>
        <w:t>H2020-MSCA-NIGHT-2018: Europska noć istraživača</w:t>
      </w:r>
    </w:p>
    <w:p w14:paraId="3681CC59" w14:textId="77777777" w:rsidR="002D2BF4" w:rsidRDefault="002D2BF4" w:rsidP="00CD3CA0">
      <w:pPr>
        <w:pStyle w:val="ListParagraph"/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9D14A6">
        <w:rPr>
          <w:rFonts w:ascii="Times New Roman" w:hAnsi="Times New Roman" w:cs="Times New Roman"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</w:rPr>
        <w:t>8.</w:t>
      </w:r>
      <w:r w:rsidRPr="009D14A6">
        <w:rPr>
          <w:rFonts w:ascii="Times New Roman" w:hAnsi="Times New Roman" w:cs="Times New Roman"/>
          <w:i/>
          <w:sz w:val="24"/>
          <w:szCs w:val="24"/>
        </w:rPr>
        <w:t xml:space="preserve"> 2018. – 31. </w:t>
      </w:r>
      <w:r>
        <w:rPr>
          <w:rFonts w:ascii="Times New Roman" w:hAnsi="Times New Roman" w:cs="Times New Roman"/>
          <w:i/>
          <w:sz w:val="24"/>
          <w:szCs w:val="24"/>
        </w:rPr>
        <w:t>10.</w:t>
      </w:r>
      <w:r w:rsidRPr="009D14A6">
        <w:rPr>
          <w:rFonts w:ascii="Times New Roman" w:hAnsi="Times New Roman" w:cs="Times New Roman"/>
          <w:i/>
          <w:sz w:val="24"/>
          <w:szCs w:val="24"/>
        </w:rPr>
        <w:t xml:space="preserve"> 2019.</w:t>
      </w:r>
    </w:p>
    <w:p w14:paraId="2C894162" w14:textId="77777777" w:rsidR="002D2BF4" w:rsidRDefault="002D2BF4" w:rsidP="00CD3CA0">
      <w:pPr>
        <w:pStyle w:val="ListParagraph"/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89E1848" w14:textId="338075CF" w:rsidR="002D2BF4" w:rsidRPr="006A2AA6" w:rsidRDefault="002D2BF4" w:rsidP="008C6D46">
      <w:p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5</w:t>
      </w:r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6D46">
        <w:rPr>
          <w:rFonts w:ascii="Times New Roman" w:hAnsi="Times New Roman" w:cs="Times New Roman"/>
          <w:i/>
          <w:sz w:val="24"/>
          <w:szCs w:val="24"/>
        </w:rPr>
        <w:tab/>
      </w:r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Program Unije Rights, </w:t>
      </w:r>
      <w:proofErr w:type="spellStart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Equality</w:t>
      </w:r>
      <w:proofErr w:type="spellEnd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and</w:t>
      </w:r>
      <w:proofErr w:type="spellEnd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Citizenship</w:t>
      </w:r>
      <w:proofErr w:type="spellEnd"/>
    </w:p>
    <w:p w14:paraId="5416472A" w14:textId="3F72F131" w:rsidR="002D2BF4" w:rsidRPr="006A2AA6" w:rsidRDefault="002D2BF4" w:rsidP="00CD3CA0">
      <w:p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6A2AA6">
        <w:rPr>
          <w:rFonts w:ascii="Times New Roman" w:hAnsi="Times New Roman" w:cs="Times New Roman"/>
          <w:i/>
          <w:sz w:val="24"/>
          <w:szCs w:val="24"/>
        </w:rPr>
        <w:t>.1)</w:t>
      </w:r>
      <w:r w:rsidRPr="006A2AA6">
        <w:rPr>
          <w:rFonts w:ascii="Times New Roman" w:hAnsi="Times New Roman" w:cs="Times New Roman"/>
          <w:i/>
          <w:sz w:val="24"/>
          <w:szCs w:val="24"/>
        </w:rPr>
        <w:tab/>
        <w:t>REC-AG-2017 – Jednake plaće-jednaka prava-jednake mirovine (GPPG)</w:t>
      </w:r>
    </w:p>
    <w:p w14:paraId="75B4FB42" w14:textId="77777777" w:rsidR="002D2BF4" w:rsidRDefault="002D2BF4" w:rsidP="00CD3CA0">
      <w:pPr>
        <w:pStyle w:val="ListParagraph"/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Razdoblje provedbe:</w:t>
      </w:r>
      <w:r w:rsidRPr="006A2AA6">
        <w:rPr>
          <w:rFonts w:ascii="Times New Roman" w:hAnsi="Times New Roman" w:cs="Times New Roman"/>
          <w:i/>
          <w:sz w:val="24"/>
          <w:szCs w:val="24"/>
        </w:rPr>
        <w:t xml:space="preserve"> 01.10.2018. - 28.02.2021.</w:t>
      </w:r>
    </w:p>
    <w:p w14:paraId="3B180D7C" w14:textId="601FDD40" w:rsidR="002D2BF4" w:rsidRDefault="002D2BF4" w:rsidP="008C6D46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6</w:t>
      </w:r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6D46">
        <w:rPr>
          <w:rFonts w:ascii="Times New Roman" w:hAnsi="Times New Roman" w:cs="Times New Roman"/>
          <w:i/>
          <w:sz w:val="24"/>
          <w:szCs w:val="24"/>
        </w:rPr>
        <w:tab/>
      </w:r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Program Unije </w:t>
      </w:r>
      <w:proofErr w:type="spellStart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Citizens</w:t>
      </w:r>
      <w:proofErr w:type="spellEnd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proofErr w:type="spellStart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Equality</w:t>
      </w:r>
      <w:proofErr w:type="spellEnd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Rights </w:t>
      </w:r>
      <w:proofErr w:type="spellStart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and</w:t>
      </w:r>
      <w:proofErr w:type="spellEnd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Values</w:t>
      </w:r>
      <w:proofErr w:type="spellEnd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8B65DF">
        <w:rPr>
          <w:rFonts w:ascii="Times New Roman" w:hAnsi="Times New Roman" w:cs="Times New Roman"/>
          <w:b/>
          <w:bCs/>
          <w:i/>
          <w:sz w:val="24"/>
          <w:szCs w:val="24"/>
        </w:rPr>
        <w:t>Programme</w:t>
      </w:r>
      <w:proofErr w:type="spellEnd"/>
    </w:p>
    <w:p w14:paraId="24CA274A" w14:textId="777F8D9D" w:rsidR="002D2BF4" w:rsidRDefault="002D2BF4" w:rsidP="00CD3CA0">
      <w:p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6.1) </w:t>
      </w:r>
      <w:r w:rsidR="00CD3CA0">
        <w:rPr>
          <w:rFonts w:ascii="Times New Roman" w:hAnsi="Times New Roman" w:cs="Times New Roman"/>
          <w:i/>
          <w:sz w:val="24"/>
          <w:szCs w:val="24"/>
        </w:rPr>
        <w:tab/>
      </w:r>
      <w:r w:rsidRPr="006A2AA6">
        <w:rPr>
          <w:rFonts w:ascii="Times New Roman" w:hAnsi="Times New Roman" w:cs="Times New Roman"/>
          <w:i/>
          <w:sz w:val="24"/>
          <w:szCs w:val="24"/>
        </w:rPr>
        <w:t>Podizanje svijesti o rodno uvjetovanom kibernetičkom nasilju nad djevojčicama i ženama te stvaranje sigurnijeg online okruženja</w:t>
      </w:r>
    </w:p>
    <w:p w14:paraId="7A52022B" w14:textId="77777777" w:rsidR="002D2BF4" w:rsidRDefault="002D2BF4" w:rsidP="00CD3CA0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Kraći naziv: </w:t>
      </w:r>
      <w:proofErr w:type="spellStart"/>
      <w:r w:rsidRPr="006A2AA6">
        <w:rPr>
          <w:rFonts w:ascii="Times New Roman" w:hAnsi="Times New Roman" w:cs="Times New Roman"/>
          <w:i/>
          <w:sz w:val="24"/>
          <w:szCs w:val="24"/>
        </w:rPr>
        <w:t>bE</w:t>
      </w:r>
      <w:proofErr w:type="spellEnd"/>
      <w:r w:rsidRPr="006A2AA6">
        <w:rPr>
          <w:rFonts w:ascii="Times New Roman" w:hAnsi="Times New Roman" w:cs="Times New Roman"/>
          <w:i/>
          <w:sz w:val="24"/>
          <w:szCs w:val="24"/>
        </w:rPr>
        <w:t>-SAFE</w:t>
      </w:r>
    </w:p>
    <w:p w14:paraId="372A25FB" w14:textId="77777777" w:rsidR="002D2BF4" w:rsidRDefault="002D2BF4" w:rsidP="00CD3CA0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6A2AA6">
        <w:rPr>
          <w:rFonts w:ascii="Times New Roman" w:hAnsi="Times New Roman" w:cs="Times New Roman"/>
          <w:i/>
          <w:sz w:val="24"/>
          <w:szCs w:val="24"/>
        </w:rPr>
        <w:t>16.01.2023. – 15.01.2026.</w:t>
      </w:r>
    </w:p>
    <w:p w14:paraId="66FFD97C" w14:textId="1D593BBC" w:rsidR="002D2BF4" w:rsidRDefault="002D2BF4" w:rsidP="00CD3CA0">
      <w:p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6.2) </w:t>
      </w:r>
      <w:r w:rsidR="00CD3CA0">
        <w:rPr>
          <w:rFonts w:ascii="Times New Roman" w:hAnsi="Times New Roman" w:cs="Times New Roman"/>
          <w:i/>
          <w:sz w:val="24"/>
          <w:szCs w:val="24"/>
        </w:rPr>
        <w:tab/>
      </w:r>
      <w:r w:rsidRPr="00A53F37">
        <w:rPr>
          <w:rFonts w:ascii="Times New Roman" w:hAnsi="Times New Roman" w:cs="Times New Roman"/>
          <w:i/>
          <w:sz w:val="24"/>
          <w:szCs w:val="24"/>
        </w:rPr>
        <w:t>MOJ DOM. Izbjeglice, migracije i izbrisana sjećanja u razdoblju nakon ratova u bivšoj Jugoslaviji</w:t>
      </w:r>
    </w:p>
    <w:p w14:paraId="004758F2" w14:textId="77777777" w:rsidR="002D2BF4" w:rsidRDefault="002D2BF4" w:rsidP="00CD3CA0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Kraći naziv: MDRMM</w:t>
      </w:r>
    </w:p>
    <w:p w14:paraId="0E6B0ECE" w14:textId="21C96B94" w:rsidR="00B46A3A" w:rsidRDefault="002D2BF4" w:rsidP="00B46A3A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A53F37">
        <w:rPr>
          <w:rFonts w:ascii="Times New Roman" w:hAnsi="Times New Roman" w:cs="Times New Roman"/>
          <w:i/>
          <w:sz w:val="24"/>
          <w:szCs w:val="24"/>
        </w:rPr>
        <w:t>01.01.2023. – 31.12.2024.</w:t>
      </w:r>
    </w:p>
    <w:p w14:paraId="4730E029" w14:textId="15EE9C8B" w:rsidR="00B46A3A" w:rsidRDefault="00B46A3A" w:rsidP="00B46A3A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040F9D7" w14:textId="77777777" w:rsidR="00B46A3A" w:rsidRPr="009570F5" w:rsidRDefault="00B46A3A" w:rsidP="00B46A3A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>Tablica 2. Broj ugovorenih projekata financiranih putem Hrvatske zaklade za znanost, ESF-a, gospodarskih subjekata tijela državne uprave, JLS-a i civilnog sektora</w:t>
      </w:r>
    </w:p>
    <w:tbl>
      <w:tblPr>
        <w:tblpPr w:leftFromText="180" w:rightFromText="180" w:vertAnchor="text" w:horzAnchor="margin" w:tblpXSpec="center" w:tblpY="8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7"/>
        <w:gridCol w:w="1843"/>
        <w:gridCol w:w="1365"/>
        <w:gridCol w:w="1096"/>
        <w:gridCol w:w="1011"/>
        <w:gridCol w:w="1096"/>
        <w:gridCol w:w="1096"/>
        <w:gridCol w:w="1096"/>
      </w:tblGrid>
      <w:tr w:rsidR="00B46A3A" w:rsidRPr="00F57E66" w14:paraId="7F239B4C" w14:textId="77777777" w:rsidTr="004A491A">
        <w:trPr>
          <w:trHeight w:val="675"/>
        </w:trPr>
        <w:tc>
          <w:tcPr>
            <w:tcW w:w="1887" w:type="dxa"/>
            <w:shd w:val="clear" w:color="auto" w:fill="auto"/>
            <w:noWrap/>
            <w:vAlign w:val="center"/>
            <w:hideMark/>
          </w:tcPr>
          <w:p w14:paraId="67BD9C86" w14:textId="77777777" w:rsidR="00B46A3A" w:rsidRPr="00B86E78" w:rsidRDefault="00B46A3A" w:rsidP="004A49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Pokazatelj učinka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02A9E56" w14:textId="77777777" w:rsidR="00B46A3A" w:rsidRPr="00B86E78" w:rsidRDefault="00B46A3A" w:rsidP="004A49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Definicija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14:paraId="2E094B65" w14:textId="77777777" w:rsidR="00B46A3A" w:rsidRPr="00B86E78" w:rsidRDefault="00B46A3A" w:rsidP="004A49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Jedinica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359E28CD" w14:textId="77777777" w:rsidR="00B46A3A" w:rsidRPr="00B86E78" w:rsidRDefault="00B46A3A" w:rsidP="004A49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Polazna vrijednost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14:paraId="0F90026A" w14:textId="77777777" w:rsidR="00B46A3A" w:rsidRPr="00B86E78" w:rsidRDefault="00B46A3A" w:rsidP="004A49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Izvor podataka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22B949FE" w14:textId="77777777" w:rsidR="00B46A3A" w:rsidRPr="00B86E78" w:rsidRDefault="00B46A3A" w:rsidP="004A49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Ciljana vrijednost 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39585291" w14:textId="77777777" w:rsidR="00B46A3A" w:rsidRPr="00B86E78" w:rsidRDefault="00B46A3A" w:rsidP="004A49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Ciljana vrijednost 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6" w:type="dxa"/>
            <w:vAlign w:val="center"/>
          </w:tcPr>
          <w:p w14:paraId="0C644E7C" w14:textId="77777777" w:rsidR="00B46A3A" w:rsidRPr="00B86E78" w:rsidRDefault="00B46A3A" w:rsidP="004A49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Ciljana vrijednost 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</w:tr>
      <w:tr w:rsidR="00B46A3A" w:rsidRPr="00F57E66" w14:paraId="724CB28C" w14:textId="77777777" w:rsidTr="004A491A">
        <w:trPr>
          <w:trHeight w:val="495"/>
        </w:trPr>
        <w:tc>
          <w:tcPr>
            <w:tcW w:w="1887" w:type="dxa"/>
            <w:shd w:val="clear" w:color="auto" w:fill="auto"/>
            <w:vAlign w:val="center"/>
            <w:hideMark/>
          </w:tcPr>
          <w:p w14:paraId="1409B1EA" w14:textId="77777777" w:rsidR="00B46A3A" w:rsidRPr="00B86E78" w:rsidRDefault="00B46A3A" w:rsidP="004A491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Povećanje broja ugovorenih projekata s gospodarskim subjektima, tijelima državne uprave i jedinicama lokalne uprave i samouprave, civilnim sektorom i nevladinim udrugama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FB28DC" w14:textId="77777777" w:rsidR="00B46A3A" w:rsidRPr="00B86E78" w:rsidRDefault="00B46A3A" w:rsidP="004A491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Broj ugovorenih projekata s gospodarskim subjektima, tijelima državne uprave i jedinicama lokalne uprave i samouprave, civilnim sektorom i nevladinim udrugama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14:paraId="085B6B5F" w14:textId="77777777" w:rsidR="00B46A3A" w:rsidRPr="00B86E78" w:rsidRDefault="00B46A3A" w:rsidP="004A491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Broj ugovorenih projekata</w:t>
            </w:r>
          </w:p>
          <w:p w14:paraId="3632E11F" w14:textId="77777777" w:rsidR="00B46A3A" w:rsidRPr="00B86E78" w:rsidRDefault="00B46A3A" w:rsidP="004A491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86E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(godišnje)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14:paraId="58F33249" w14:textId="77777777" w:rsidR="00B46A3A" w:rsidRPr="00336BE3" w:rsidRDefault="00B46A3A" w:rsidP="004A49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6B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  <w:p w14:paraId="04DCF410" w14:textId="77777777" w:rsidR="00B46A3A" w:rsidRPr="00336BE3" w:rsidRDefault="00B46A3A" w:rsidP="004A49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6B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(2022.)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14:paraId="2B8BBF9D" w14:textId="77777777" w:rsidR="00B46A3A" w:rsidRPr="00336BE3" w:rsidRDefault="00B46A3A" w:rsidP="004A491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36B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Institut – godišnji izvještaj o radu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2B42AD8C" w14:textId="77777777" w:rsidR="00B46A3A" w:rsidRPr="00B86E78" w:rsidRDefault="00B46A3A" w:rsidP="004A49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14:paraId="3808A096" w14:textId="77777777" w:rsidR="00B46A3A" w:rsidRPr="00B86E78" w:rsidRDefault="00B46A3A" w:rsidP="004A49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E057455" w14:textId="77777777" w:rsidR="00B46A3A" w:rsidRPr="00B86E78" w:rsidRDefault="00B46A3A" w:rsidP="004A49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</w:tr>
    </w:tbl>
    <w:p w14:paraId="7DF839BD" w14:textId="50DC3A1A" w:rsidR="00B46A3A" w:rsidRPr="006A2AA6" w:rsidRDefault="00B46A3A" w:rsidP="00B46A3A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B8EAC62" w14:textId="5E1CFB4D" w:rsidR="002D2BF4" w:rsidRPr="002D2BF4" w:rsidRDefault="002D2BF4" w:rsidP="008C6D46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7. </w:t>
      </w:r>
      <w:r w:rsidR="008C6D46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  <w:r w:rsidRPr="002D2BF4">
        <w:rPr>
          <w:rFonts w:ascii="Times New Roman" w:hAnsi="Times New Roman" w:cs="Times New Roman"/>
          <w:b/>
          <w:bCs/>
          <w:i/>
          <w:sz w:val="24"/>
          <w:szCs w:val="24"/>
        </w:rPr>
        <w:t>Program Erasmus+:</w:t>
      </w:r>
    </w:p>
    <w:p w14:paraId="3B77FE66" w14:textId="77777777" w:rsidR="002D2BF4" w:rsidRPr="001A008D" w:rsidRDefault="002D2BF4" w:rsidP="00CD3CA0">
      <w:pPr>
        <w:pStyle w:val="ListParagraph"/>
        <w:spacing w:before="240"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5675DE2" w14:textId="5A165C58" w:rsidR="002D2BF4" w:rsidRPr="002D2BF4" w:rsidRDefault="002D2BF4" w:rsidP="00CD3CA0">
      <w:pPr>
        <w:pStyle w:val="ListParagraph"/>
        <w:numPr>
          <w:ilvl w:val="1"/>
          <w:numId w:val="25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2BF4">
        <w:rPr>
          <w:rFonts w:ascii="Times New Roman" w:hAnsi="Times New Roman" w:cs="Times New Roman"/>
          <w:i/>
          <w:sz w:val="24"/>
          <w:szCs w:val="24"/>
        </w:rPr>
        <w:t xml:space="preserve">KA3 European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Policy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Experimentation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EACEA 34/2015  - Hand in Hand: Socijalne i emocionalne vještine za tolerantna i nediskriminativna društva (Pristup čitave škole)</w:t>
      </w:r>
    </w:p>
    <w:p w14:paraId="69895DDF" w14:textId="77777777" w:rsidR="002D2BF4" w:rsidRDefault="002D2B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Kraći naziv: Hand in Hand 1</w:t>
      </w:r>
    </w:p>
    <w:p w14:paraId="55E32BBF" w14:textId="77777777" w:rsidR="002D2BF4" w:rsidRDefault="002D2B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1A008D">
        <w:rPr>
          <w:rFonts w:ascii="Times New Roman" w:hAnsi="Times New Roman" w:cs="Times New Roman"/>
          <w:i/>
          <w:sz w:val="24"/>
          <w:szCs w:val="24"/>
        </w:rPr>
        <w:t>28.02.2017. - 27.02.2020.</w:t>
      </w:r>
    </w:p>
    <w:p w14:paraId="07122245" w14:textId="4E186F1D" w:rsidR="002D2BF4" w:rsidRPr="002D2BF4" w:rsidRDefault="002D2BF4" w:rsidP="00CD3CA0">
      <w:pPr>
        <w:pStyle w:val="ListParagraph"/>
        <w:numPr>
          <w:ilvl w:val="1"/>
          <w:numId w:val="25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2BF4">
        <w:rPr>
          <w:rFonts w:ascii="Times New Roman" w:hAnsi="Times New Roman" w:cs="Times New Roman"/>
          <w:i/>
          <w:sz w:val="24"/>
          <w:szCs w:val="24"/>
        </w:rPr>
        <w:t xml:space="preserve">KA3 European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Policy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Experimentation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EACEA/38/2019 – Hand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in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Hand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: Osnaživanje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socio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>-emocionalnih kompetencija i svijesti o različitosti učitelja širom Europe</w:t>
      </w:r>
    </w:p>
    <w:p w14:paraId="5DB96969" w14:textId="77777777" w:rsidR="002D2BF4" w:rsidRDefault="002D2B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Kraći naziv: Hand in Hand 2</w:t>
      </w:r>
    </w:p>
    <w:p w14:paraId="2D0DD1C3" w14:textId="77777777" w:rsidR="002D2BF4" w:rsidRPr="001A008D" w:rsidRDefault="002D2B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Razdoblje provedbe: 01</w:t>
      </w:r>
      <w:r w:rsidRPr="001A008D">
        <w:rPr>
          <w:rFonts w:ascii="Times New Roman" w:hAnsi="Times New Roman" w:cs="Times New Roman"/>
          <w:i/>
          <w:sz w:val="24"/>
          <w:szCs w:val="24"/>
        </w:rPr>
        <w:t>.0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1A008D">
        <w:rPr>
          <w:rFonts w:ascii="Times New Roman" w:hAnsi="Times New Roman" w:cs="Times New Roman"/>
          <w:i/>
          <w:sz w:val="24"/>
          <w:szCs w:val="24"/>
        </w:rPr>
        <w:t>.2021. do 28.02.2024.</w:t>
      </w:r>
    </w:p>
    <w:p w14:paraId="0634FFE8" w14:textId="4998D6EC" w:rsidR="002D2BF4" w:rsidRPr="002D2BF4" w:rsidRDefault="002D2BF4" w:rsidP="00CD3CA0">
      <w:pPr>
        <w:pStyle w:val="ListParagraph"/>
        <w:numPr>
          <w:ilvl w:val="1"/>
          <w:numId w:val="25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2BF4">
        <w:rPr>
          <w:rFonts w:ascii="Times New Roman" w:hAnsi="Times New Roman" w:cs="Times New Roman"/>
          <w:i/>
          <w:sz w:val="24"/>
          <w:szCs w:val="24"/>
        </w:rPr>
        <w:t xml:space="preserve">KA205 -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Strategic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Partnerships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for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Supporting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Evidence-based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Education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Youth </w:t>
      </w:r>
      <w:proofErr w:type="spellStart"/>
      <w:r w:rsidRPr="002D2BF4">
        <w:rPr>
          <w:rFonts w:ascii="Times New Roman" w:hAnsi="Times New Roman" w:cs="Times New Roman"/>
          <w:i/>
          <w:sz w:val="24"/>
          <w:szCs w:val="24"/>
        </w:rPr>
        <w:t>Workers</w:t>
      </w:r>
      <w:proofErr w:type="spellEnd"/>
      <w:r w:rsidRPr="002D2BF4">
        <w:rPr>
          <w:rFonts w:ascii="Times New Roman" w:hAnsi="Times New Roman" w:cs="Times New Roman"/>
          <w:i/>
          <w:sz w:val="24"/>
          <w:szCs w:val="24"/>
        </w:rPr>
        <w:t xml:space="preserve"> (SEEYW)</w:t>
      </w:r>
    </w:p>
    <w:p w14:paraId="3A4A277F" w14:textId="77777777" w:rsidR="002D2BF4" w:rsidRPr="005C36DE" w:rsidRDefault="002D2B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5C36DE">
        <w:rPr>
          <w:rFonts w:ascii="Times New Roman" w:hAnsi="Times New Roman" w:cs="Times New Roman"/>
          <w:i/>
          <w:sz w:val="24"/>
          <w:szCs w:val="24"/>
        </w:rPr>
        <w:t xml:space="preserve">01.02.2019. </w:t>
      </w: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C36DE">
        <w:rPr>
          <w:rFonts w:ascii="Times New Roman" w:hAnsi="Times New Roman" w:cs="Times New Roman"/>
          <w:i/>
          <w:sz w:val="24"/>
          <w:szCs w:val="24"/>
        </w:rPr>
        <w:t>31.12.2021.</w:t>
      </w:r>
    </w:p>
    <w:p w14:paraId="49DA002A" w14:textId="77777777" w:rsidR="002D2BF4" w:rsidRDefault="002D2BF4" w:rsidP="00CD3CA0">
      <w:pPr>
        <w:pStyle w:val="ListParagraph"/>
        <w:numPr>
          <w:ilvl w:val="1"/>
          <w:numId w:val="25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16F8">
        <w:rPr>
          <w:rFonts w:ascii="Times New Roman" w:hAnsi="Times New Roman" w:cs="Times New Roman"/>
          <w:i/>
          <w:sz w:val="24"/>
          <w:szCs w:val="24"/>
        </w:rPr>
        <w:t xml:space="preserve">KA205 -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Strategic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Partnerships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for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Innovate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debate: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applied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curriculum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for debate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based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work</w:t>
      </w:r>
      <w:proofErr w:type="spellEnd"/>
    </w:p>
    <w:p w14:paraId="4B451A9B" w14:textId="77777777" w:rsidR="002D2BF4" w:rsidRPr="00395BA7" w:rsidRDefault="002D2B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395BA7">
        <w:rPr>
          <w:rFonts w:ascii="Times New Roman" w:hAnsi="Times New Roman" w:cs="Times New Roman"/>
          <w:i/>
          <w:sz w:val="24"/>
          <w:szCs w:val="24"/>
        </w:rPr>
        <w:t>01.09.2019. - 31.08.2022.</w:t>
      </w:r>
    </w:p>
    <w:p w14:paraId="351A93DC" w14:textId="77777777" w:rsidR="002D2BF4" w:rsidRDefault="002D2BF4" w:rsidP="00CD3CA0">
      <w:pPr>
        <w:pStyle w:val="ListParagraph"/>
        <w:numPr>
          <w:ilvl w:val="1"/>
          <w:numId w:val="25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16F8">
        <w:rPr>
          <w:rFonts w:ascii="Times New Roman" w:hAnsi="Times New Roman" w:cs="Times New Roman"/>
          <w:i/>
          <w:sz w:val="24"/>
          <w:szCs w:val="24"/>
        </w:rPr>
        <w:t xml:space="preserve">Erasmus 2027 -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Support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to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better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knowledge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in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policy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(Youth Wiki)</w:t>
      </w:r>
    </w:p>
    <w:p w14:paraId="57A739CF" w14:textId="77777777" w:rsidR="002D2BF4" w:rsidRPr="00395BA7" w:rsidRDefault="002D2B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Razdoblje provedbe:</w:t>
      </w:r>
      <w:r w:rsidRPr="00395BA7">
        <w:rPr>
          <w:rFonts w:ascii="Times New Roman" w:hAnsi="Times New Roman" w:cs="Times New Roman"/>
          <w:i/>
          <w:sz w:val="24"/>
          <w:szCs w:val="24"/>
        </w:rPr>
        <w:t xml:space="preserve"> 2017.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95BA7">
        <w:rPr>
          <w:rFonts w:ascii="Times New Roman" w:hAnsi="Times New Roman" w:cs="Times New Roman"/>
          <w:i/>
          <w:sz w:val="24"/>
          <w:szCs w:val="24"/>
        </w:rPr>
        <w:t xml:space="preserve"> 2027.</w:t>
      </w:r>
    </w:p>
    <w:p w14:paraId="4561A0B3" w14:textId="77777777" w:rsidR="002D2BF4" w:rsidRDefault="002D2BF4" w:rsidP="00CD3CA0">
      <w:pPr>
        <w:pStyle w:val="ListParagraph"/>
        <w:numPr>
          <w:ilvl w:val="1"/>
          <w:numId w:val="25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16F8">
        <w:rPr>
          <w:rFonts w:ascii="Times New Roman" w:hAnsi="Times New Roman" w:cs="Times New Roman"/>
          <w:i/>
          <w:sz w:val="24"/>
          <w:szCs w:val="24"/>
        </w:rPr>
        <w:t>KA2–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Capacity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buliding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in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field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Art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Ethics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in</w:t>
      </w:r>
      <w:proofErr w:type="spellEnd"/>
      <w:r w:rsidRPr="00F916F8">
        <w:rPr>
          <w:rFonts w:ascii="Times New Roman" w:hAnsi="Times New Roman" w:cs="Times New Roman"/>
          <w:i/>
          <w:sz w:val="24"/>
          <w:szCs w:val="24"/>
        </w:rPr>
        <w:t xml:space="preserve"> Youth </w:t>
      </w:r>
      <w:proofErr w:type="spellStart"/>
      <w:r w:rsidRPr="00F916F8">
        <w:rPr>
          <w:rFonts w:ascii="Times New Roman" w:hAnsi="Times New Roman" w:cs="Times New Roman"/>
          <w:i/>
          <w:sz w:val="24"/>
          <w:szCs w:val="24"/>
        </w:rPr>
        <w:t>Work</w:t>
      </w:r>
      <w:proofErr w:type="spellEnd"/>
    </w:p>
    <w:p w14:paraId="4D5EDF73" w14:textId="77777777" w:rsidR="002D2BF4" w:rsidRDefault="002D2BF4" w:rsidP="00CD3CA0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Razdoblje provedbe:</w:t>
      </w:r>
      <w:r w:rsidRPr="00395BA7">
        <w:rPr>
          <w:rFonts w:ascii="Times New Roman" w:hAnsi="Times New Roman" w:cs="Times New Roman"/>
          <w:i/>
          <w:sz w:val="24"/>
          <w:szCs w:val="24"/>
        </w:rPr>
        <w:t xml:space="preserve"> 06.04.2021. do 13.12.2022.</w:t>
      </w:r>
    </w:p>
    <w:p w14:paraId="4BAF123F" w14:textId="77777777" w:rsidR="002D2BF4" w:rsidRDefault="002D2BF4" w:rsidP="00CD3CA0">
      <w:pPr>
        <w:pStyle w:val="ListParagraph"/>
        <w:spacing w:line="276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5BE211" w14:textId="00DD00A4" w:rsidR="002D2BF4" w:rsidRDefault="002D2BF4" w:rsidP="008C6D46">
      <w:pPr>
        <w:pStyle w:val="ListParagraph"/>
        <w:numPr>
          <w:ilvl w:val="0"/>
          <w:numId w:val="25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C2BBA">
        <w:rPr>
          <w:rFonts w:ascii="Times New Roman" w:hAnsi="Times New Roman" w:cs="Times New Roman"/>
          <w:b/>
          <w:bCs/>
          <w:i/>
          <w:sz w:val="24"/>
          <w:szCs w:val="24"/>
        </w:rPr>
        <w:t>Program financiran putem Europskog centra za razvoj strukovnog osposobljavanja – CEDEFOP</w:t>
      </w:r>
    </w:p>
    <w:p w14:paraId="396E33DF" w14:textId="77777777" w:rsidR="00CD3CA0" w:rsidRPr="00AC2BBA" w:rsidRDefault="00CD3CA0" w:rsidP="00CD3CA0">
      <w:pPr>
        <w:pStyle w:val="ListParagraph"/>
        <w:spacing w:line="276" w:lineRule="auto"/>
        <w:ind w:left="37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5DFC5E38" w14:textId="77777777" w:rsidR="002D2BF4" w:rsidRDefault="002D2BF4" w:rsidP="00CD3CA0">
      <w:pPr>
        <w:pStyle w:val="ListParagraph"/>
        <w:numPr>
          <w:ilvl w:val="1"/>
          <w:numId w:val="25"/>
        </w:numPr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FAA">
        <w:rPr>
          <w:rFonts w:ascii="Times New Roman" w:hAnsi="Times New Roman" w:cs="Times New Roman"/>
          <w:i/>
          <w:sz w:val="24"/>
          <w:szCs w:val="24"/>
        </w:rPr>
        <w:t>Tematska procjena država o oblicima usavršavanja odraslih osoba s niskom razinom vještina</w:t>
      </w:r>
    </w:p>
    <w:p w14:paraId="702DEC36" w14:textId="2D41A521" w:rsidR="001B4D9E" w:rsidRDefault="002D2BF4" w:rsidP="00B46A3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1C0FAA">
        <w:rPr>
          <w:rFonts w:ascii="Times New Roman" w:hAnsi="Times New Roman" w:cs="Times New Roman"/>
          <w:i/>
          <w:sz w:val="24"/>
          <w:szCs w:val="24"/>
        </w:rPr>
        <w:t>15.12.2022. – 15.12.2025.</w:t>
      </w:r>
    </w:p>
    <w:p w14:paraId="4A68C0E0" w14:textId="28D8C7E4" w:rsidR="00B46A3A" w:rsidRDefault="00B46A3A" w:rsidP="00B46A3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7935E5" w14:textId="00100C76" w:rsidR="008C6D46" w:rsidRDefault="008C6D46" w:rsidP="00B46A3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BABFB2" w14:textId="77777777" w:rsidR="008C6D46" w:rsidRPr="00B46A3A" w:rsidRDefault="008C6D46" w:rsidP="00B46A3A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6B8AF4A" w14:textId="4FF0F20D" w:rsidR="009D14A6" w:rsidRPr="00B46A3A" w:rsidRDefault="009D14A6" w:rsidP="008C6D46">
      <w:pPr>
        <w:pStyle w:val="ListParagraph"/>
        <w:numPr>
          <w:ilvl w:val="0"/>
          <w:numId w:val="25"/>
        </w:numPr>
        <w:spacing w:before="240" w:line="276" w:lineRule="auto"/>
        <w:ind w:left="567" w:hanging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46A3A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Program </w:t>
      </w:r>
      <w:proofErr w:type="spellStart"/>
      <w:r w:rsidRPr="00B46A3A">
        <w:rPr>
          <w:rFonts w:ascii="Times New Roman" w:hAnsi="Times New Roman" w:cs="Times New Roman"/>
          <w:b/>
          <w:bCs/>
          <w:i/>
          <w:sz w:val="24"/>
          <w:szCs w:val="24"/>
        </w:rPr>
        <w:t>Horizon</w:t>
      </w:r>
      <w:proofErr w:type="spellEnd"/>
      <w:r w:rsidRPr="00B46A3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2020 i </w:t>
      </w:r>
      <w:proofErr w:type="spellStart"/>
      <w:r w:rsidRPr="00B46A3A">
        <w:rPr>
          <w:rFonts w:ascii="Times New Roman" w:hAnsi="Times New Roman" w:cs="Times New Roman"/>
          <w:b/>
          <w:bCs/>
          <w:i/>
          <w:sz w:val="24"/>
          <w:szCs w:val="24"/>
        </w:rPr>
        <w:t>Horizon</w:t>
      </w:r>
      <w:proofErr w:type="spellEnd"/>
      <w:r w:rsidRPr="00B46A3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Europe:</w:t>
      </w:r>
    </w:p>
    <w:p w14:paraId="3DA4F0CD" w14:textId="77777777" w:rsidR="009D14A6" w:rsidRDefault="009D14A6" w:rsidP="00CD3CA0">
      <w:pPr>
        <w:pStyle w:val="ListParagraph"/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6F8921" w14:textId="4C241F53" w:rsidR="009D14A6" w:rsidRPr="00B46A3A" w:rsidRDefault="009D14A6" w:rsidP="00B46A3A">
      <w:pPr>
        <w:pStyle w:val="ListParagraph"/>
        <w:numPr>
          <w:ilvl w:val="1"/>
          <w:numId w:val="25"/>
        </w:num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46A3A">
        <w:rPr>
          <w:rFonts w:ascii="Times New Roman" w:hAnsi="Times New Roman" w:cs="Times New Roman"/>
          <w:i/>
          <w:sz w:val="24"/>
          <w:szCs w:val="24"/>
        </w:rPr>
        <w:t xml:space="preserve">HORIZON-CL2-2022-DEMOCRACY-01: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Democracy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meets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arts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critical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change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labs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for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building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democratic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cultures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through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creative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and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narrative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46A3A">
        <w:rPr>
          <w:rFonts w:ascii="Times New Roman" w:hAnsi="Times New Roman" w:cs="Times New Roman"/>
          <w:i/>
          <w:sz w:val="24"/>
          <w:szCs w:val="24"/>
        </w:rPr>
        <w:t>practices</w:t>
      </w:r>
      <w:proofErr w:type="spellEnd"/>
      <w:r w:rsidRPr="00B46A3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DA2B4E6" w14:textId="5B07E095" w:rsidR="009D14A6" w:rsidRDefault="009D14A6" w:rsidP="001B4D9E">
      <w:pPr>
        <w:pStyle w:val="ListParagraph"/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Kraći naziv: </w:t>
      </w:r>
      <w:proofErr w:type="spellStart"/>
      <w:r w:rsidRPr="009D14A6">
        <w:rPr>
          <w:rFonts w:ascii="Times New Roman" w:hAnsi="Times New Roman" w:cs="Times New Roman"/>
          <w:i/>
          <w:sz w:val="24"/>
          <w:szCs w:val="24"/>
        </w:rPr>
        <w:t>Critical</w:t>
      </w:r>
      <w:proofErr w:type="spellEnd"/>
      <w:r w:rsidRPr="009D14A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D14A6">
        <w:rPr>
          <w:rFonts w:ascii="Times New Roman" w:hAnsi="Times New Roman" w:cs="Times New Roman"/>
          <w:i/>
          <w:sz w:val="24"/>
          <w:szCs w:val="24"/>
        </w:rPr>
        <w:t>ChangeLab</w:t>
      </w:r>
      <w:proofErr w:type="spellEnd"/>
    </w:p>
    <w:p w14:paraId="2C29D5AB" w14:textId="51B6B458" w:rsidR="009D14A6" w:rsidRDefault="009D14A6" w:rsidP="001B4D9E">
      <w:pPr>
        <w:pStyle w:val="ListParagraph"/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9D14A6">
        <w:rPr>
          <w:rFonts w:ascii="Times New Roman" w:hAnsi="Times New Roman" w:cs="Times New Roman"/>
          <w:i/>
          <w:sz w:val="24"/>
          <w:szCs w:val="24"/>
        </w:rPr>
        <w:t>01.04.2023</w:t>
      </w:r>
      <w:r>
        <w:rPr>
          <w:rFonts w:ascii="Times New Roman" w:hAnsi="Times New Roman" w:cs="Times New Roman"/>
          <w:i/>
          <w:sz w:val="24"/>
          <w:szCs w:val="24"/>
        </w:rPr>
        <w:t xml:space="preserve">. - </w:t>
      </w:r>
      <w:r w:rsidRPr="009D14A6">
        <w:rPr>
          <w:rFonts w:ascii="Times New Roman" w:hAnsi="Times New Roman" w:cs="Times New Roman"/>
          <w:i/>
          <w:sz w:val="24"/>
          <w:szCs w:val="24"/>
        </w:rPr>
        <w:t>31.03.2026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9317825" w14:textId="77777777" w:rsidR="009D14A6" w:rsidRDefault="009D14A6" w:rsidP="00CD3CA0">
      <w:pPr>
        <w:pStyle w:val="ListParagraph"/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1E7B4A" w14:textId="7A4DAC1A" w:rsidR="009D14A6" w:rsidRPr="001B4D9E" w:rsidRDefault="009D14A6" w:rsidP="00B46A3A">
      <w:pPr>
        <w:pStyle w:val="ListParagraph"/>
        <w:numPr>
          <w:ilvl w:val="1"/>
          <w:numId w:val="25"/>
        </w:num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4D9E">
        <w:rPr>
          <w:rFonts w:ascii="Times New Roman" w:hAnsi="Times New Roman" w:cs="Times New Roman"/>
          <w:i/>
          <w:sz w:val="24"/>
          <w:szCs w:val="24"/>
        </w:rPr>
        <w:t>H2020-MSCA</w:t>
      </w:r>
      <w:r w:rsidR="006A2AA6" w:rsidRPr="001B4D9E">
        <w:rPr>
          <w:rFonts w:ascii="Times New Roman" w:hAnsi="Times New Roman" w:cs="Times New Roman"/>
          <w:i/>
          <w:sz w:val="24"/>
          <w:szCs w:val="24"/>
        </w:rPr>
        <w:t>-</w:t>
      </w:r>
      <w:r w:rsidRPr="001B4D9E">
        <w:rPr>
          <w:rFonts w:ascii="Times New Roman" w:hAnsi="Times New Roman" w:cs="Times New Roman"/>
          <w:i/>
          <w:sz w:val="24"/>
          <w:szCs w:val="24"/>
        </w:rPr>
        <w:t>NIGHT-2018: Europska noć istraživača</w:t>
      </w:r>
    </w:p>
    <w:p w14:paraId="2C71D078" w14:textId="4F0646E9" w:rsidR="009D14A6" w:rsidRDefault="009D14A6" w:rsidP="001B4D9E">
      <w:pPr>
        <w:pStyle w:val="ListParagraph"/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9D14A6">
        <w:rPr>
          <w:rFonts w:ascii="Times New Roman" w:hAnsi="Times New Roman" w:cs="Times New Roman"/>
          <w:i/>
          <w:sz w:val="24"/>
          <w:szCs w:val="24"/>
        </w:rPr>
        <w:t xml:space="preserve">1. </w:t>
      </w:r>
      <w:r>
        <w:rPr>
          <w:rFonts w:ascii="Times New Roman" w:hAnsi="Times New Roman" w:cs="Times New Roman"/>
          <w:i/>
          <w:sz w:val="24"/>
          <w:szCs w:val="24"/>
        </w:rPr>
        <w:t>8.</w:t>
      </w:r>
      <w:r w:rsidRPr="009D14A6">
        <w:rPr>
          <w:rFonts w:ascii="Times New Roman" w:hAnsi="Times New Roman" w:cs="Times New Roman"/>
          <w:i/>
          <w:sz w:val="24"/>
          <w:szCs w:val="24"/>
        </w:rPr>
        <w:t xml:space="preserve"> 2018. – 31. </w:t>
      </w:r>
      <w:r>
        <w:rPr>
          <w:rFonts w:ascii="Times New Roman" w:hAnsi="Times New Roman" w:cs="Times New Roman"/>
          <w:i/>
          <w:sz w:val="24"/>
          <w:szCs w:val="24"/>
        </w:rPr>
        <w:t>10.</w:t>
      </w:r>
      <w:r w:rsidRPr="009D14A6">
        <w:rPr>
          <w:rFonts w:ascii="Times New Roman" w:hAnsi="Times New Roman" w:cs="Times New Roman"/>
          <w:i/>
          <w:sz w:val="24"/>
          <w:szCs w:val="24"/>
        </w:rPr>
        <w:t xml:space="preserve"> 2019.</w:t>
      </w:r>
    </w:p>
    <w:p w14:paraId="3EDB3315" w14:textId="7A438FAE" w:rsidR="006A2AA6" w:rsidRDefault="006A2AA6" w:rsidP="00CD3CA0">
      <w:pPr>
        <w:pStyle w:val="ListParagraph"/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5059DE" w14:textId="63AD882F" w:rsidR="006A2AA6" w:rsidRPr="006A2AA6" w:rsidRDefault="00B46A3A" w:rsidP="00B46A3A">
      <w:pPr>
        <w:tabs>
          <w:tab w:val="left" w:pos="567"/>
        </w:tabs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10</w:t>
      </w:r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6A2AA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Program Unije Rights, </w:t>
      </w:r>
      <w:proofErr w:type="spellStart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Equality</w:t>
      </w:r>
      <w:proofErr w:type="spellEnd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and</w:t>
      </w:r>
      <w:proofErr w:type="spellEnd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Citizenship</w:t>
      </w:r>
      <w:proofErr w:type="spellEnd"/>
    </w:p>
    <w:p w14:paraId="689464CD" w14:textId="6FC7362B" w:rsidR="006A2AA6" w:rsidRPr="006A2AA6" w:rsidRDefault="00B46A3A" w:rsidP="00CD3CA0">
      <w:p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="006A2AA6" w:rsidRPr="006A2AA6">
        <w:rPr>
          <w:rFonts w:ascii="Times New Roman" w:hAnsi="Times New Roman" w:cs="Times New Roman"/>
          <w:i/>
          <w:sz w:val="24"/>
          <w:szCs w:val="24"/>
        </w:rPr>
        <w:t>.1)</w:t>
      </w:r>
      <w:r w:rsidR="006A2AA6" w:rsidRPr="006A2AA6">
        <w:rPr>
          <w:rFonts w:ascii="Times New Roman" w:hAnsi="Times New Roman" w:cs="Times New Roman"/>
          <w:i/>
          <w:sz w:val="24"/>
          <w:szCs w:val="24"/>
        </w:rPr>
        <w:tab/>
        <w:t>REC-AG-2017 – Jednake plaće-jednaka prava-jednake mirovine (GPPG)</w:t>
      </w:r>
    </w:p>
    <w:p w14:paraId="1FEBED6F" w14:textId="66E8DDD2" w:rsidR="006A2AA6" w:rsidRDefault="006A2AA6" w:rsidP="00CD3CA0">
      <w:pPr>
        <w:pStyle w:val="ListParagraph"/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Razdoblje provedbe:</w:t>
      </w:r>
      <w:r w:rsidRPr="006A2AA6">
        <w:rPr>
          <w:rFonts w:ascii="Times New Roman" w:hAnsi="Times New Roman" w:cs="Times New Roman"/>
          <w:i/>
          <w:sz w:val="24"/>
          <w:szCs w:val="24"/>
        </w:rPr>
        <w:t xml:space="preserve"> 01.10.2018. - 28.02.2021.</w:t>
      </w:r>
    </w:p>
    <w:p w14:paraId="0E92B954" w14:textId="77777777" w:rsidR="00CD3CA0" w:rsidRDefault="00CD3CA0" w:rsidP="00CD3CA0">
      <w:pPr>
        <w:pStyle w:val="ListParagraph"/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5CF71E" w14:textId="699006C2" w:rsidR="006A2AA6" w:rsidRDefault="00B46A3A" w:rsidP="00B46A3A">
      <w:pPr>
        <w:tabs>
          <w:tab w:val="left" w:pos="567"/>
        </w:tabs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11</w:t>
      </w:r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A53F3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Program Unije </w:t>
      </w:r>
      <w:proofErr w:type="spellStart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Citizens</w:t>
      </w:r>
      <w:proofErr w:type="spellEnd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proofErr w:type="spellStart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Equality</w:t>
      </w:r>
      <w:proofErr w:type="spellEnd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Rights </w:t>
      </w:r>
      <w:proofErr w:type="spellStart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and</w:t>
      </w:r>
      <w:proofErr w:type="spellEnd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Values</w:t>
      </w:r>
      <w:proofErr w:type="spellEnd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A2AA6" w:rsidRPr="008B65DF">
        <w:rPr>
          <w:rFonts w:ascii="Times New Roman" w:hAnsi="Times New Roman" w:cs="Times New Roman"/>
          <w:b/>
          <w:bCs/>
          <w:i/>
          <w:sz w:val="24"/>
          <w:szCs w:val="24"/>
        </w:rPr>
        <w:t>Programme</w:t>
      </w:r>
      <w:proofErr w:type="spellEnd"/>
    </w:p>
    <w:p w14:paraId="3D46147F" w14:textId="2D33EBCD" w:rsidR="006A2AA6" w:rsidRDefault="00B46A3A" w:rsidP="00CD3CA0">
      <w:p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="006A2AA6">
        <w:rPr>
          <w:rFonts w:ascii="Times New Roman" w:hAnsi="Times New Roman" w:cs="Times New Roman"/>
          <w:i/>
          <w:sz w:val="24"/>
          <w:szCs w:val="24"/>
        </w:rPr>
        <w:t xml:space="preserve">.1) </w:t>
      </w:r>
      <w:r w:rsidR="006A2AA6" w:rsidRPr="006A2AA6">
        <w:rPr>
          <w:rFonts w:ascii="Times New Roman" w:hAnsi="Times New Roman" w:cs="Times New Roman"/>
          <w:i/>
          <w:sz w:val="24"/>
          <w:szCs w:val="24"/>
        </w:rPr>
        <w:t>Podizanje svijesti o rodno uvjetovanom kibernetičkom nasilju nad djevojčicama i ženama te stvaranje sigurnijeg online okruženja</w:t>
      </w:r>
    </w:p>
    <w:p w14:paraId="7CF6D782" w14:textId="5D6B66B8" w:rsidR="006A2AA6" w:rsidRDefault="006A2AA6" w:rsidP="00CD3CA0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Kraći naziv: </w:t>
      </w:r>
      <w:proofErr w:type="spellStart"/>
      <w:r w:rsidRPr="006A2AA6">
        <w:rPr>
          <w:rFonts w:ascii="Times New Roman" w:hAnsi="Times New Roman" w:cs="Times New Roman"/>
          <w:i/>
          <w:sz w:val="24"/>
          <w:szCs w:val="24"/>
        </w:rPr>
        <w:t>bE</w:t>
      </w:r>
      <w:proofErr w:type="spellEnd"/>
      <w:r w:rsidRPr="006A2AA6">
        <w:rPr>
          <w:rFonts w:ascii="Times New Roman" w:hAnsi="Times New Roman" w:cs="Times New Roman"/>
          <w:i/>
          <w:sz w:val="24"/>
          <w:szCs w:val="24"/>
        </w:rPr>
        <w:t>-SAFE</w:t>
      </w:r>
    </w:p>
    <w:p w14:paraId="7C507D27" w14:textId="4E7CC2CF" w:rsidR="006A2AA6" w:rsidRDefault="006A2AA6" w:rsidP="00CD3CA0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6A2AA6">
        <w:rPr>
          <w:rFonts w:ascii="Times New Roman" w:hAnsi="Times New Roman" w:cs="Times New Roman"/>
          <w:i/>
          <w:sz w:val="24"/>
          <w:szCs w:val="24"/>
        </w:rPr>
        <w:t>16.01.2023. – 15.01.2026.</w:t>
      </w:r>
    </w:p>
    <w:p w14:paraId="234A58BE" w14:textId="7E896AEC" w:rsidR="00A53F37" w:rsidRDefault="00B46A3A" w:rsidP="00CD3CA0">
      <w:pPr>
        <w:spacing w:before="240"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="00A53F37">
        <w:rPr>
          <w:rFonts w:ascii="Times New Roman" w:hAnsi="Times New Roman" w:cs="Times New Roman"/>
          <w:i/>
          <w:sz w:val="24"/>
          <w:szCs w:val="24"/>
        </w:rPr>
        <w:t>.2)</w:t>
      </w:r>
      <w:r w:rsidR="00CD3CA0">
        <w:rPr>
          <w:rFonts w:ascii="Times New Roman" w:hAnsi="Times New Roman" w:cs="Times New Roman"/>
          <w:i/>
          <w:sz w:val="24"/>
          <w:szCs w:val="24"/>
        </w:rPr>
        <w:tab/>
      </w:r>
      <w:r w:rsidR="00A53F37" w:rsidRPr="00A53F37">
        <w:rPr>
          <w:rFonts w:ascii="Times New Roman" w:hAnsi="Times New Roman" w:cs="Times New Roman"/>
          <w:i/>
          <w:sz w:val="24"/>
          <w:szCs w:val="24"/>
        </w:rPr>
        <w:t>MOJ DOM. Izbjeglice, migracije i izbrisana sjećanja u razdoblju nakon ratova u bivšoj Jugoslaviji</w:t>
      </w:r>
    </w:p>
    <w:p w14:paraId="42403A0E" w14:textId="49D1D3D0" w:rsidR="00A53F37" w:rsidRDefault="00A53F37" w:rsidP="00CD3CA0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Kraći naziv: MDRMM</w:t>
      </w:r>
    </w:p>
    <w:p w14:paraId="2972E1C3" w14:textId="26FB1E18" w:rsidR="001B4D9E" w:rsidRDefault="00A53F37" w:rsidP="001B4D9E">
      <w:pPr>
        <w:spacing w:before="240"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A53F37">
        <w:rPr>
          <w:rFonts w:ascii="Times New Roman" w:hAnsi="Times New Roman" w:cs="Times New Roman"/>
          <w:i/>
          <w:sz w:val="24"/>
          <w:szCs w:val="24"/>
        </w:rPr>
        <w:t>01.01.2023. – 31.12.2024.</w:t>
      </w:r>
    </w:p>
    <w:p w14:paraId="582EE3EB" w14:textId="19EA9E3E" w:rsidR="001C0FAA" w:rsidRDefault="001C0FAA" w:rsidP="001B4D9E">
      <w:pPr>
        <w:pStyle w:val="ListParagraph"/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C56B44" w14:textId="08CEDEA5" w:rsidR="001C0FAA" w:rsidRPr="00B46A3A" w:rsidRDefault="001C0FAA" w:rsidP="00B46A3A">
      <w:pPr>
        <w:pStyle w:val="ListParagraph"/>
        <w:numPr>
          <w:ilvl w:val="0"/>
          <w:numId w:val="31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46A3A">
        <w:rPr>
          <w:rFonts w:ascii="Times New Roman" w:hAnsi="Times New Roman" w:cs="Times New Roman"/>
          <w:b/>
          <w:bCs/>
          <w:i/>
          <w:sz w:val="24"/>
          <w:szCs w:val="24"/>
        </w:rPr>
        <w:t>Program financiran putem Europskog centra za razvoj strukovnog osposobljavanja – CEDEFOP</w:t>
      </w:r>
    </w:p>
    <w:p w14:paraId="017E2C14" w14:textId="77777777" w:rsidR="00CD3CA0" w:rsidRPr="00AC2BBA" w:rsidRDefault="00CD3CA0" w:rsidP="00CD3CA0">
      <w:pPr>
        <w:pStyle w:val="ListParagraph"/>
        <w:spacing w:line="276" w:lineRule="auto"/>
        <w:ind w:left="375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7CFAA28B" w14:textId="178C046B" w:rsidR="001C0FAA" w:rsidRPr="00B46A3A" w:rsidRDefault="00B46A3A" w:rsidP="00B46A3A">
      <w:p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12.1</w:t>
      </w:r>
      <w:r w:rsidRPr="00B46A3A">
        <w:rPr>
          <w:rFonts w:ascii="Times New Roman" w:hAnsi="Times New Roman" w:cs="Times New Roman"/>
          <w:i/>
          <w:sz w:val="24"/>
          <w:szCs w:val="24"/>
        </w:rPr>
        <w:t>)</w:t>
      </w:r>
      <w:r w:rsidRPr="00B46A3A">
        <w:rPr>
          <w:rFonts w:ascii="Times New Roman" w:hAnsi="Times New Roman" w:cs="Times New Roman"/>
          <w:i/>
          <w:sz w:val="24"/>
          <w:szCs w:val="24"/>
        </w:rPr>
        <w:tab/>
      </w:r>
      <w:r w:rsidR="001C0FAA" w:rsidRPr="00B46A3A">
        <w:rPr>
          <w:rFonts w:ascii="Times New Roman" w:hAnsi="Times New Roman" w:cs="Times New Roman"/>
          <w:i/>
          <w:sz w:val="24"/>
          <w:szCs w:val="24"/>
        </w:rPr>
        <w:t>Tematska procjena država o oblicima usavršavanja odraslih osoba s niskom razinom vještina</w:t>
      </w:r>
    </w:p>
    <w:p w14:paraId="184E3DA0" w14:textId="51C6E885" w:rsidR="001C0FAA" w:rsidRPr="00395BA7" w:rsidRDefault="001C0FAA" w:rsidP="009571AC">
      <w:pPr>
        <w:pStyle w:val="ListParagraph"/>
        <w:spacing w:line="276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Razdoblje provedbe: </w:t>
      </w:r>
      <w:r w:rsidRPr="001C0FAA">
        <w:rPr>
          <w:rFonts w:ascii="Times New Roman" w:hAnsi="Times New Roman" w:cs="Times New Roman"/>
          <w:i/>
          <w:sz w:val="24"/>
          <w:szCs w:val="24"/>
        </w:rPr>
        <w:t>15.12.2022. – 15.12.2025.</w:t>
      </w:r>
    </w:p>
    <w:p w14:paraId="0FFDA0E9" w14:textId="77777777" w:rsidR="008C6D46" w:rsidRDefault="008C6D46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page"/>
      </w:r>
    </w:p>
    <w:p w14:paraId="4C77F9D1" w14:textId="7E68A7E3" w:rsidR="000A0789" w:rsidRDefault="004C7A18" w:rsidP="00CD3CA0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7A1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Tablica 3. Broj i vrijednost EU projekata </w:t>
      </w:r>
      <w:r>
        <w:rPr>
          <w:rFonts w:ascii="Times New Roman" w:hAnsi="Times New Roman" w:cs="Times New Roman"/>
          <w:iCs/>
          <w:sz w:val="24"/>
          <w:szCs w:val="24"/>
        </w:rPr>
        <w:t>financiranih sredstvima EU-a</w:t>
      </w:r>
    </w:p>
    <w:tbl>
      <w:tblPr>
        <w:tblpPr w:leftFromText="180" w:rightFromText="180" w:bottomFromText="160" w:vertAnchor="text" w:horzAnchor="margin" w:tblpXSpec="center" w:tblpY="157"/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7"/>
        <w:gridCol w:w="1843"/>
        <w:gridCol w:w="1145"/>
        <w:gridCol w:w="1096"/>
        <w:gridCol w:w="1011"/>
        <w:gridCol w:w="1096"/>
        <w:gridCol w:w="1096"/>
        <w:gridCol w:w="1096"/>
      </w:tblGrid>
      <w:tr w:rsidR="004C7A18" w14:paraId="4D862BDF" w14:textId="77777777" w:rsidTr="004C7A18">
        <w:trPr>
          <w:trHeight w:val="67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700E8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Pokazatelj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učinka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9F2C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Definicija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1B20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Jedinica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60AF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Polazna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vrijednost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ED0C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Izvor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podataka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A62C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Ciljana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vrijednost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2024.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C465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Ciljana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vrijednost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2025.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2B6F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Ciljana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vrijednost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2026.</w:t>
            </w:r>
          </w:p>
        </w:tc>
      </w:tr>
      <w:tr w:rsidR="004C7A18" w14:paraId="4DB02460" w14:textId="77777777" w:rsidTr="004C7A18">
        <w:trPr>
          <w:trHeight w:val="49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EF17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Povećanje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broja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projekata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financiranih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sredstvima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Europske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unije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A2078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projekata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financiranih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sredstvima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Europske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unije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C70A3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projekata</w:t>
            </w:r>
            <w:proofErr w:type="spellEnd"/>
          </w:p>
          <w:p w14:paraId="1019FD47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godišnje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63B06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12</w:t>
            </w:r>
          </w:p>
          <w:p w14:paraId="7FE331CA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(2023.)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9FFB4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Institut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376D5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10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28612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3F53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6</w:t>
            </w:r>
          </w:p>
        </w:tc>
      </w:tr>
      <w:tr w:rsidR="004C7A18" w14:paraId="2804EC72" w14:textId="77777777" w:rsidTr="004C7A18">
        <w:trPr>
          <w:trHeight w:val="49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4CD1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Povećanje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vrijednosti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projekata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financiranih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sredstvima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Europske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unije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FD4E0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Vrijednost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projekata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financiranih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sredstvima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Europske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unije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68564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Vrijednost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eurima</w:t>
            </w:r>
            <w:proofErr w:type="spellEnd"/>
          </w:p>
          <w:p w14:paraId="63C83C5F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godišnje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0E9D9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213.105,12</w:t>
            </w:r>
          </w:p>
          <w:p w14:paraId="6AD7DB6F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(2023.)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A149A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Institut</w:t>
            </w:r>
            <w:proofErr w:type="spell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54BB5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105.239,46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65105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61.824,60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06CE" w14:textId="77777777" w:rsidR="004C7A18" w:rsidRDefault="004C7A18" w:rsidP="00CD3CA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val="en-US"/>
              </w:rPr>
              <w:t>38.108,44</w:t>
            </w:r>
          </w:p>
        </w:tc>
      </w:tr>
    </w:tbl>
    <w:p w14:paraId="0E8AB717" w14:textId="77777777" w:rsidR="004C7A18" w:rsidRPr="004C7A18" w:rsidRDefault="004C7A18" w:rsidP="00CD3CA0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6D3073A" w14:textId="77777777" w:rsidR="002A1A04" w:rsidRPr="00AC2BBA" w:rsidRDefault="002A1A04" w:rsidP="00CD3CA0">
      <w:pPr>
        <w:spacing w:line="276" w:lineRule="auto"/>
        <w:rPr>
          <w:iCs/>
        </w:rPr>
      </w:pPr>
    </w:p>
    <w:sectPr w:rsidR="002A1A04" w:rsidRPr="00AC2BBA" w:rsidSect="00DA76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A71EA" w14:textId="77777777" w:rsidR="00F869EF" w:rsidRDefault="00F869EF">
      <w:pPr>
        <w:spacing w:after="0" w:line="240" w:lineRule="auto"/>
      </w:pPr>
      <w:r>
        <w:separator/>
      </w:r>
    </w:p>
  </w:endnote>
  <w:endnote w:type="continuationSeparator" w:id="0">
    <w:p w14:paraId="16B6C0B2" w14:textId="77777777" w:rsidR="00F869EF" w:rsidRDefault="00F8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﷽﷽﷽﷽﷽﷽﷽﷽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5515545"/>
      <w:docPartObj>
        <w:docPartGallery w:val="Page Numbers (Bottom of Page)"/>
        <w:docPartUnique/>
      </w:docPartObj>
    </w:sdtPr>
    <w:sdtEndPr/>
    <w:sdtContent>
      <w:p w14:paraId="56504171" w14:textId="3653E39A" w:rsidR="004A491A" w:rsidRDefault="004A491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8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EB7147" w14:textId="77777777" w:rsidR="004A491A" w:rsidRDefault="004A49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AEFA" w14:textId="77777777" w:rsidR="00F869EF" w:rsidRDefault="00F869EF">
      <w:pPr>
        <w:spacing w:after="0" w:line="240" w:lineRule="auto"/>
      </w:pPr>
      <w:r>
        <w:separator/>
      </w:r>
    </w:p>
  </w:footnote>
  <w:footnote w:type="continuationSeparator" w:id="0">
    <w:p w14:paraId="21C6F65C" w14:textId="77777777" w:rsidR="00F869EF" w:rsidRDefault="00F86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4D0F"/>
    <w:multiLevelType w:val="multilevel"/>
    <w:tmpl w:val="7CE2501A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FC5C8C"/>
    <w:multiLevelType w:val="hybridMultilevel"/>
    <w:tmpl w:val="7888992A"/>
    <w:lvl w:ilvl="0" w:tplc="C958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E04C2"/>
    <w:multiLevelType w:val="hybridMultilevel"/>
    <w:tmpl w:val="5FE4275C"/>
    <w:lvl w:ilvl="0" w:tplc="CA8AA484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E75D8B"/>
    <w:multiLevelType w:val="multilevel"/>
    <w:tmpl w:val="52169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9"/>
      <w:numFmt w:val="decimal"/>
      <w:isLgl/>
      <w:lvlText w:val="%1.%2"/>
      <w:lvlJc w:val="left"/>
      <w:pPr>
        <w:ind w:left="79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4" w15:restartNumberingAfterBreak="0">
    <w:nsid w:val="0D826C24"/>
    <w:multiLevelType w:val="multilevel"/>
    <w:tmpl w:val="BAACD0E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85685E"/>
    <w:multiLevelType w:val="hybridMultilevel"/>
    <w:tmpl w:val="02083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801F2"/>
    <w:multiLevelType w:val="hybridMultilevel"/>
    <w:tmpl w:val="94BA2C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D601C"/>
    <w:multiLevelType w:val="multilevel"/>
    <w:tmpl w:val="B992BC7A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E134AC"/>
    <w:multiLevelType w:val="multilevel"/>
    <w:tmpl w:val="F400351A"/>
    <w:lvl w:ilvl="0">
      <w:start w:val="7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A6B0E5D"/>
    <w:multiLevelType w:val="multilevel"/>
    <w:tmpl w:val="6DCCB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CC40ADD"/>
    <w:multiLevelType w:val="hybridMultilevel"/>
    <w:tmpl w:val="B2FE6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53CA7"/>
    <w:multiLevelType w:val="hybridMultilevel"/>
    <w:tmpl w:val="760AD8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5C7"/>
    <w:multiLevelType w:val="multilevel"/>
    <w:tmpl w:val="4DB2221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E796BEF"/>
    <w:multiLevelType w:val="hybridMultilevel"/>
    <w:tmpl w:val="191802EA"/>
    <w:lvl w:ilvl="0" w:tplc="C958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60E83"/>
    <w:multiLevelType w:val="hybridMultilevel"/>
    <w:tmpl w:val="D31EBDCC"/>
    <w:lvl w:ilvl="0" w:tplc="B61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A519D"/>
    <w:multiLevelType w:val="hybridMultilevel"/>
    <w:tmpl w:val="769A9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B4FFA"/>
    <w:multiLevelType w:val="hybridMultilevel"/>
    <w:tmpl w:val="94BA2C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260A1"/>
    <w:multiLevelType w:val="multilevel"/>
    <w:tmpl w:val="B43E33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BE54385"/>
    <w:multiLevelType w:val="hybridMultilevel"/>
    <w:tmpl w:val="2D4C2B14"/>
    <w:lvl w:ilvl="0" w:tplc="B61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90730"/>
    <w:multiLevelType w:val="hybridMultilevel"/>
    <w:tmpl w:val="587AD104"/>
    <w:lvl w:ilvl="0" w:tplc="E2AC6ABE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82657"/>
    <w:multiLevelType w:val="hybridMultilevel"/>
    <w:tmpl w:val="43E039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321B0"/>
    <w:multiLevelType w:val="multilevel"/>
    <w:tmpl w:val="09882086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61E7EE4"/>
    <w:multiLevelType w:val="multilevel"/>
    <w:tmpl w:val="9B3AA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D677E75"/>
    <w:multiLevelType w:val="multilevel"/>
    <w:tmpl w:val="5570346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2F52C16"/>
    <w:multiLevelType w:val="hybridMultilevel"/>
    <w:tmpl w:val="E87C94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0D4A5A"/>
    <w:multiLevelType w:val="multilevel"/>
    <w:tmpl w:val="5EAC86F8"/>
    <w:lvl w:ilvl="0">
      <w:start w:val="7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DC438C7"/>
    <w:multiLevelType w:val="hybridMultilevel"/>
    <w:tmpl w:val="BDEC7A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207E4"/>
    <w:multiLevelType w:val="hybridMultilevel"/>
    <w:tmpl w:val="30FEEB2E"/>
    <w:lvl w:ilvl="0" w:tplc="8F04EEE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480220C"/>
    <w:multiLevelType w:val="multilevel"/>
    <w:tmpl w:val="98B6F9CA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6782023"/>
    <w:multiLevelType w:val="hybridMultilevel"/>
    <w:tmpl w:val="8C7A9E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421C2"/>
    <w:multiLevelType w:val="multilevel"/>
    <w:tmpl w:val="AAECA0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2"/>
  </w:num>
  <w:num w:numId="5">
    <w:abstractNumId w:val="27"/>
  </w:num>
  <w:num w:numId="6">
    <w:abstractNumId w:val="15"/>
  </w:num>
  <w:num w:numId="7">
    <w:abstractNumId w:val="22"/>
  </w:num>
  <w:num w:numId="8">
    <w:abstractNumId w:val="9"/>
  </w:num>
  <w:num w:numId="9">
    <w:abstractNumId w:val="5"/>
  </w:num>
  <w:num w:numId="10">
    <w:abstractNumId w:val="26"/>
  </w:num>
  <w:num w:numId="11">
    <w:abstractNumId w:val="1"/>
  </w:num>
  <w:num w:numId="12">
    <w:abstractNumId w:val="13"/>
  </w:num>
  <w:num w:numId="13">
    <w:abstractNumId w:val="14"/>
  </w:num>
  <w:num w:numId="14">
    <w:abstractNumId w:val="18"/>
  </w:num>
  <w:num w:numId="15">
    <w:abstractNumId w:val="29"/>
  </w:num>
  <w:num w:numId="16">
    <w:abstractNumId w:val="11"/>
  </w:num>
  <w:num w:numId="17">
    <w:abstractNumId w:val="30"/>
  </w:num>
  <w:num w:numId="18">
    <w:abstractNumId w:val="21"/>
  </w:num>
  <w:num w:numId="19">
    <w:abstractNumId w:val="3"/>
  </w:num>
  <w:num w:numId="20">
    <w:abstractNumId w:val="12"/>
  </w:num>
  <w:num w:numId="21">
    <w:abstractNumId w:val="17"/>
  </w:num>
  <w:num w:numId="22">
    <w:abstractNumId w:val="23"/>
  </w:num>
  <w:num w:numId="23">
    <w:abstractNumId w:val="20"/>
  </w:num>
  <w:num w:numId="24">
    <w:abstractNumId w:val="7"/>
  </w:num>
  <w:num w:numId="25">
    <w:abstractNumId w:val="8"/>
  </w:num>
  <w:num w:numId="26">
    <w:abstractNumId w:val="19"/>
  </w:num>
  <w:num w:numId="27">
    <w:abstractNumId w:val="25"/>
  </w:num>
  <w:num w:numId="28">
    <w:abstractNumId w:val="10"/>
  </w:num>
  <w:num w:numId="29">
    <w:abstractNumId w:val="4"/>
  </w:num>
  <w:num w:numId="30">
    <w:abstractNumId w:val="28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789"/>
    <w:rsid w:val="00023D24"/>
    <w:rsid w:val="000644A4"/>
    <w:rsid w:val="000A0789"/>
    <w:rsid w:val="000A6B0B"/>
    <w:rsid w:val="001068E0"/>
    <w:rsid w:val="0011476D"/>
    <w:rsid w:val="00137C89"/>
    <w:rsid w:val="001821D1"/>
    <w:rsid w:val="00196E28"/>
    <w:rsid w:val="001A008D"/>
    <w:rsid w:val="001B2610"/>
    <w:rsid w:val="001B4D9E"/>
    <w:rsid w:val="001C0FAA"/>
    <w:rsid w:val="001F2C5D"/>
    <w:rsid w:val="002157C5"/>
    <w:rsid w:val="00232C07"/>
    <w:rsid w:val="00270469"/>
    <w:rsid w:val="00280B7D"/>
    <w:rsid w:val="002965F2"/>
    <w:rsid w:val="002A1A04"/>
    <w:rsid w:val="002D111E"/>
    <w:rsid w:val="002D2BF4"/>
    <w:rsid w:val="002F3A37"/>
    <w:rsid w:val="00320181"/>
    <w:rsid w:val="0032169B"/>
    <w:rsid w:val="00336BE3"/>
    <w:rsid w:val="00351AEE"/>
    <w:rsid w:val="00394D9C"/>
    <w:rsid w:val="00395BA7"/>
    <w:rsid w:val="003A5B33"/>
    <w:rsid w:val="003B02EE"/>
    <w:rsid w:val="003D3762"/>
    <w:rsid w:val="00416374"/>
    <w:rsid w:val="00424253"/>
    <w:rsid w:val="00495264"/>
    <w:rsid w:val="004A491A"/>
    <w:rsid w:val="004C7A18"/>
    <w:rsid w:val="004D3A30"/>
    <w:rsid w:val="004F1577"/>
    <w:rsid w:val="00542A7D"/>
    <w:rsid w:val="005C115F"/>
    <w:rsid w:val="005C36DE"/>
    <w:rsid w:val="005E0AF9"/>
    <w:rsid w:val="005E41D8"/>
    <w:rsid w:val="00614189"/>
    <w:rsid w:val="006454A0"/>
    <w:rsid w:val="00645B27"/>
    <w:rsid w:val="006665E3"/>
    <w:rsid w:val="006745D5"/>
    <w:rsid w:val="00676A8F"/>
    <w:rsid w:val="006A2AA6"/>
    <w:rsid w:val="006C728B"/>
    <w:rsid w:val="006D635B"/>
    <w:rsid w:val="006D6853"/>
    <w:rsid w:val="00710B9E"/>
    <w:rsid w:val="007A4500"/>
    <w:rsid w:val="007B1873"/>
    <w:rsid w:val="0081384F"/>
    <w:rsid w:val="008B405E"/>
    <w:rsid w:val="008B65DF"/>
    <w:rsid w:val="008C0B95"/>
    <w:rsid w:val="008C6469"/>
    <w:rsid w:val="008C6D46"/>
    <w:rsid w:val="008E7AFA"/>
    <w:rsid w:val="00916111"/>
    <w:rsid w:val="00926EDB"/>
    <w:rsid w:val="009570F5"/>
    <w:rsid w:val="009571AC"/>
    <w:rsid w:val="0099553C"/>
    <w:rsid w:val="009B7FA3"/>
    <w:rsid w:val="009C4C5D"/>
    <w:rsid w:val="009D14A6"/>
    <w:rsid w:val="00A241DD"/>
    <w:rsid w:val="00A42074"/>
    <w:rsid w:val="00A53F37"/>
    <w:rsid w:val="00A578E6"/>
    <w:rsid w:val="00AB24FD"/>
    <w:rsid w:val="00AC2BBA"/>
    <w:rsid w:val="00AD7A7D"/>
    <w:rsid w:val="00AF6A1C"/>
    <w:rsid w:val="00B251F4"/>
    <w:rsid w:val="00B46A3A"/>
    <w:rsid w:val="00B55D18"/>
    <w:rsid w:val="00B67D66"/>
    <w:rsid w:val="00B85B19"/>
    <w:rsid w:val="00B85E8D"/>
    <w:rsid w:val="00BD79D0"/>
    <w:rsid w:val="00BF56E5"/>
    <w:rsid w:val="00C623C2"/>
    <w:rsid w:val="00CD0871"/>
    <w:rsid w:val="00CD3CA0"/>
    <w:rsid w:val="00CE13D9"/>
    <w:rsid w:val="00D36BC3"/>
    <w:rsid w:val="00D95D45"/>
    <w:rsid w:val="00DA766D"/>
    <w:rsid w:val="00DB759C"/>
    <w:rsid w:val="00DC09E6"/>
    <w:rsid w:val="00DD5D1A"/>
    <w:rsid w:val="00DD7976"/>
    <w:rsid w:val="00DD7B4D"/>
    <w:rsid w:val="00DF1A8B"/>
    <w:rsid w:val="00DF5841"/>
    <w:rsid w:val="00E342A7"/>
    <w:rsid w:val="00E87BFC"/>
    <w:rsid w:val="00E96FB6"/>
    <w:rsid w:val="00EA2DFE"/>
    <w:rsid w:val="00ED470E"/>
    <w:rsid w:val="00EF350C"/>
    <w:rsid w:val="00F02F22"/>
    <w:rsid w:val="00F11BE9"/>
    <w:rsid w:val="00F31EAC"/>
    <w:rsid w:val="00F869EF"/>
    <w:rsid w:val="00F930EE"/>
    <w:rsid w:val="00FC3B0B"/>
    <w:rsid w:val="00FC7656"/>
    <w:rsid w:val="00FE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19EE"/>
  <w15:chartTrackingRefBased/>
  <w15:docId w15:val="{4D585354-575D-47B1-B1F6-277FE6B3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0A0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A0789"/>
  </w:style>
  <w:style w:type="table" w:styleId="TableGrid">
    <w:name w:val="Table Grid"/>
    <w:basedOn w:val="TableNormal"/>
    <w:uiPriority w:val="39"/>
    <w:rsid w:val="000A0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0A078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A0789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0A0789"/>
  </w:style>
  <w:style w:type="character" w:styleId="CommentReference">
    <w:name w:val="annotation reference"/>
    <w:basedOn w:val="DefaultParagraphFont"/>
    <w:uiPriority w:val="99"/>
    <w:semiHidden/>
    <w:unhideWhenUsed/>
    <w:rsid w:val="00CD08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8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8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3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4286</Words>
  <Characters>24435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HELENA</cp:lastModifiedBy>
  <cp:revision>2</cp:revision>
  <cp:lastPrinted>2023-09-29T10:22:00Z</cp:lastPrinted>
  <dcterms:created xsi:type="dcterms:W3CDTF">2024-12-02T14:24:00Z</dcterms:created>
  <dcterms:modified xsi:type="dcterms:W3CDTF">2024-12-02T14:24:00Z</dcterms:modified>
</cp:coreProperties>
</file>